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73" w:rsidRPr="00D27272" w:rsidRDefault="00C12373" w:rsidP="00C12373">
      <w:pPr>
        <w:rPr>
          <w:bCs/>
          <w:sz w:val="28"/>
          <w:szCs w:val="28"/>
        </w:rPr>
      </w:pPr>
    </w:p>
    <w:p w:rsidR="00C12373" w:rsidRPr="00D27272" w:rsidRDefault="00C12373" w:rsidP="00C12373">
      <w:pPr>
        <w:jc w:val="center"/>
        <w:rPr>
          <w:b/>
          <w:bCs/>
          <w:sz w:val="40"/>
          <w:szCs w:val="40"/>
        </w:rPr>
      </w:pPr>
      <w:r w:rsidRPr="00D27272">
        <w:rPr>
          <w:b/>
          <w:bCs/>
          <w:sz w:val="40"/>
          <w:szCs w:val="40"/>
        </w:rPr>
        <w:t>Implement</w:t>
      </w:r>
      <w:r w:rsidR="002F176E" w:rsidRPr="00D27272">
        <w:rPr>
          <w:b/>
          <w:bCs/>
          <w:sz w:val="40"/>
          <w:szCs w:val="40"/>
        </w:rPr>
        <w:t xml:space="preserve">azione PTOF Anno Scolastico </w:t>
      </w:r>
      <w:r w:rsidR="001567BA" w:rsidRPr="00D27272">
        <w:rPr>
          <w:b/>
          <w:bCs/>
          <w:sz w:val="40"/>
          <w:szCs w:val="40"/>
        </w:rPr>
        <w:t>202</w:t>
      </w:r>
      <w:r w:rsidR="003D714E">
        <w:rPr>
          <w:b/>
          <w:bCs/>
          <w:sz w:val="40"/>
          <w:szCs w:val="40"/>
        </w:rPr>
        <w:t>1</w:t>
      </w:r>
      <w:r w:rsidR="001567BA" w:rsidRPr="00D27272">
        <w:rPr>
          <w:b/>
          <w:bCs/>
          <w:sz w:val="40"/>
          <w:szCs w:val="40"/>
        </w:rPr>
        <w:t>/202</w:t>
      </w:r>
      <w:r w:rsidR="003D714E">
        <w:rPr>
          <w:b/>
          <w:bCs/>
          <w:sz w:val="40"/>
          <w:szCs w:val="40"/>
        </w:rPr>
        <w:t>2</w:t>
      </w:r>
    </w:p>
    <w:p w:rsidR="00C12373" w:rsidRPr="00D27272" w:rsidRDefault="00C12373" w:rsidP="00C12373">
      <w:pPr>
        <w:jc w:val="center"/>
        <w:rPr>
          <w:b/>
          <w:bCs/>
        </w:rPr>
      </w:pPr>
      <w:r w:rsidRPr="00D27272">
        <w:rPr>
          <w:b/>
          <w:bCs/>
        </w:rPr>
        <w:t>Le seguenti proposte progettuali vanno ad implementare il Piano dell’Offerta Formativa triennale e, rispetto alla proposta dell’anno precedente, rappresentano un ulteriore arricchimento formativo e nuove opportunità per gli allievi dell’ITI “E. Medi”.</w:t>
      </w:r>
      <w:r w:rsidRPr="00D27272">
        <w:rPr>
          <w:b/>
          <w:bCs/>
        </w:rPr>
        <w:cr/>
      </w:r>
      <w:r w:rsidR="00496150" w:rsidRPr="00D27272">
        <w:rPr>
          <w:b/>
          <w:bCs/>
        </w:rPr>
        <w:t xml:space="preserve">Le attività progettuali sono coerenti con il Piano di Miglioramento e contribuiscono al raggiungimento degli obiettivi programmati a medio e a lungo termine. </w:t>
      </w:r>
    </w:p>
    <w:p w:rsidR="00C12373" w:rsidRPr="00D27272" w:rsidRDefault="00C12373" w:rsidP="00C12373"/>
    <w:p w:rsidR="00C12373" w:rsidRPr="00D27272" w:rsidRDefault="00C12373" w:rsidP="00C12373">
      <w:pPr>
        <w:rPr>
          <w:b/>
        </w:rPr>
      </w:pPr>
      <w:r w:rsidRPr="00D27272">
        <w:rPr>
          <w:b/>
        </w:rPr>
        <w:t xml:space="preserve">Anno scolastico </w:t>
      </w:r>
      <w:r w:rsidR="006A2D71">
        <w:rPr>
          <w:b/>
        </w:rPr>
        <w:t>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5463"/>
      </w:tblGrid>
      <w:tr w:rsidR="00C12373" w:rsidRPr="00D27272" w:rsidTr="006A2D71">
        <w:tc>
          <w:tcPr>
            <w:tcW w:w="4391" w:type="dxa"/>
            <w:shd w:val="clear" w:color="auto" w:fill="FABF8F" w:themeFill="accent6" w:themeFillTint="99"/>
          </w:tcPr>
          <w:p w:rsidR="00C12373" w:rsidRPr="00D27272" w:rsidRDefault="00C12373" w:rsidP="001B2C19">
            <w:r w:rsidRPr="00D27272">
              <w:t>PROGETTO</w:t>
            </w:r>
          </w:p>
        </w:tc>
        <w:tc>
          <w:tcPr>
            <w:tcW w:w="5463" w:type="dxa"/>
            <w:shd w:val="clear" w:color="auto" w:fill="FABF8F" w:themeFill="accent6" w:themeFillTint="99"/>
          </w:tcPr>
          <w:p w:rsidR="00C12373" w:rsidRPr="00D27272" w:rsidRDefault="00C12373" w:rsidP="001B2C19">
            <w:r w:rsidRPr="00D27272">
              <w:t>FINALITÀ didattico -  FORMATIVE</w:t>
            </w:r>
            <w:r w:rsidR="00A3407B" w:rsidRPr="00D27272">
              <w:t>/descrizione/destinatari</w:t>
            </w:r>
          </w:p>
        </w:tc>
      </w:tr>
      <w:tr w:rsidR="002F176E" w:rsidRPr="00D27272" w:rsidTr="006A2D71">
        <w:tc>
          <w:tcPr>
            <w:tcW w:w="4391" w:type="dxa"/>
            <w:shd w:val="clear" w:color="auto" w:fill="FFFFFF" w:themeFill="background1"/>
          </w:tcPr>
          <w:p w:rsidR="002F176E" w:rsidRPr="006A2D71" w:rsidRDefault="002F176E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>MEDICOMICS</w:t>
            </w:r>
          </w:p>
          <w:p w:rsidR="003D714E" w:rsidRPr="006A2D71" w:rsidRDefault="003D714E" w:rsidP="001B2C19">
            <w:pPr>
              <w:spacing w:after="200" w:line="276" w:lineRule="auto"/>
              <w:rPr>
                <w:b/>
                <w:color w:val="000000" w:themeColor="text1"/>
              </w:rPr>
            </w:pPr>
          </w:p>
          <w:p w:rsidR="003D714E" w:rsidRPr="006A2D71" w:rsidRDefault="003D714E" w:rsidP="001B2C19">
            <w:pPr>
              <w:spacing w:after="200" w:line="276" w:lineRule="auto"/>
              <w:rPr>
                <w:b/>
                <w:color w:val="000000" w:themeColor="text1"/>
              </w:rPr>
            </w:pPr>
          </w:p>
        </w:tc>
        <w:tc>
          <w:tcPr>
            <w:tcW w:w="5463" w:type="dxa"/>
            <w:shd w:val="clear" w:color="auto" w:fill="FFFFFF" w:themeFill="background1"/>
          </w:tcPr>
          <w:p w:rsidR="00D27272" w:rsidRPr="006A2D71" w:rsidRDefault="00D27272" w:rsidP="00D27272">
            <w:pPr>
              <w:spacing w:line="276" w:lineRule="auto"/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Conoscenza dei dispositivi legati alla acquisizione di immagini digitali.</w:t>
            </w:r>
          </w:p>
          <w:p w:rsidR="002F176E" w:rsidRPr="006A2D71" w:rsidRDefault="00D27272" w:rsidP="00D27272">
            <w:pPr>
              <w:spacing w:line="276" w:lineRule="auto"/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Conoscere le tecniche di realizzazione di fumetti ed acquisizione digitali. Verrà esplorato ogni aspetto della creazione di un racconto, partendo dall’idea, passando per il soggetto, la sceneggiatura e i dialoghi. Parallelamente si affronteranno le fasi di realizzazione, dal layout, fino alla presentazione grafica </w:t>
            </w:r>
            <w:r w:rsidR="002F176E" w:rsidRPr="006A2D71">
              <w:rPr>
                <w:color w:val="000000" w:themeColor="text1"/>
              </w:rPr>
              <w:t>sviluppo della capacità espressiva e comunicativa attraverso il fumetto</w:t>
            </w:r>
          </w:p>
          <w:p w:rsidR="00D27272" w:rsidRPr="006A2D71" w:rsidRDefault="00D27272" w:rsidP="00D27272">
            <w:pPr>
              <w:spacing w:line="276" w:lineRule="auto"/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In caso di DAD verranno usati strumenti digitali personali con la guida del docente.</w:t>
            </w:r>
          </w:p>
        </w:tc>
      </w:tr>
      <w:tr w:rsidR="002F176E" w:rsidRPr="00D27272" w:rsidTr="006A2D71">
        <w:tc>
          <w:tcPr>
            <w:tcW w:w="4391" w:type="dxa"/>
          </w:tcPr>
          <w:p w:rsidR="002F176E" w:rsidRDefault="00A50491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>CERTIFICAZIONE TRINITY B1</w:t>
            </w:r>
          </w:p>
          <w:p w:rsidR="003D714E" w:rsidRPr="00D27272" w:rsidRDefault="003D714E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Per alunni del serale da espletare attraverso i PON </w:t>
            </w:r>
          </w:p>
        </w:tc>
        <w:tc>
          <w:tcPr>
            <w:tcW w:w="5463" w:type="dxa"/>
          </w:tcPr>
          <w:p w:rsidR="004043F0" w:rsidRPr="00D27272" w:rsidRDefault="004043F0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rFonts w:eastAsia="Calibri"/>
                <w:i/>
                <w:color w:val="000000" w:themeColor="text1"/>
                <w:lang w:eastAsia="en-US"/>
              </w:rPr>
              <w:t>Obiettivi</w:t>
            </w:r>
            <w:r w:rsidRPr="00D27272">
              <w:rPr>
                <w:bCs/>
                <w:color w:val="000000" w:themeColor="text1"/>
              </w:rPr>
              <w:t xml:space="preserve"> </w:t>
            </w:r>
          </w:p>
          <w:p w:rsidR="004043F0" w:rsidRPr="00D27272" w:rsidRDefault="004043F0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</w:rPr>
              <w:t xml:space="preserve">Potenziare lo studio della lingua inglese di un gruppo di allievi di livello omogeneo di competenza </w:t>
            </w:r>
          </w:p>
          <w:p w:rsidR="004043F0" w:rsidRPr="00D27272" w:rsidRDefault="004043F0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</w:rPr>
              <w:t>Sviluppare le competenze linguistico-comunicative di ricezione, di interazione e di produzione orale e scritta in L2</w:t>
            </w:r>
          </w:p>
          <w:p w:rsidR="004043F0" w:rsidRPr="00D27272" w:rsidRDefault="004043F0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</w:rPr>
              <w:t xml:space="preserve">Crescita d’interesse e motivazione, in modo da favorire l’apprendimento di L2. </w:t>
            </w:r>
          </w:p>
          <w:p w:rsidR="004043F0" w:rsidRPr="00D27272" w:rsidRDefault="004043F0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</w:rPr>
              <w:t>Fornire agli studenti una preparazione specifica per sostenere e superare le prove d’esame</w:t>
            </w:r>
          </w:p>
          <w:p w:rsidR="002F176E" w:rsidRPr="00D27272" w:rsidRDefault="004043F0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</w:rPr>
              <w:t xml:space="preserve">Testare e valutare le competenze linguistiche corrispondenti ai livelli B1( </w:t>
            </w:r>
            <w:proofErr w:type="spellStart"/>
            <w:r w:rsidRPr="00D27272">
              <w:rPr>
                <w:bCs/>
                <w:color w:val="000000" w:themeColor="text1"/>
              </w:rPr>
              <w:t>grades</w:t>
            </w:r>
            <w:proofErr w:type="spellEnd"/>
            <w:r w:rsidRPr="00D27272">
              <w:rPr>
                <w:bCs/>
                <w:color w:val="000000" w:themeColor="text1"/>
              </w:rPr>
              <w:t xml:space="preserve"> 5-6) del Quadro Comune Europeo di Riferimento</w:t>
            </w:r>
          </w:p>
        </w:tc>
      </w:tr>
      <w:tr w:rsidR="00E56758" w:rsidRPr="00D27272" w:rsidTr="006A2D71">
        <w:tc>
          <w:tcPr>
            <w:tcW w:w="4391" w:type="dxa"/>
          </w:tcPr>
          <w:p w:rsidR="00E56758" w:rsidRPr="00D27272" w:rsidRDefault="00E56758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>CERTIFICAZIONE TRINITY B2</w:t>
            </w:r>
          </w:p>
        </w:tc>
        <w:tc>
          <w:tcPr>
            <w:tcW w:w="5463" w:type="dxa"/>
          </w:tcPr>
          <w:p w:rsidR="00E56758" w:rsidRPr="00D27272" w:rsidRDefault="00E56758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  <w:t>Obiettivi</w:t>
            </w:r>
            <w:r w:rsidRPr="00D2727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56758" w:rsidRPr="00D27272" w:rsidRDefault="00E56758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  <w:sz w:val="22"/>
                <w:szCs w:val="22"/>
              </w:rPr>
              <w:t xml:space="preserve">Potenziare lo studio della lingua inglese di un gruppo di allievi di livello omogeneo di competenza </w:t>
            </w:r>
          </w:p>
          <w:p w:rsidR="00E56758" w:rsidRPr="00D27272" w:rsidRDefault="00E56758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  <w:sz w:val="22"/>
                <w:szCs w:val="22"/>
              </w:rPr>
              <w:t>Sviluppare le competenze linguistico-comunicative di ricezione, di interazione e di produzione orale e scritta in L2</w:t>
            </w:r>
          </w:p>
          <w:p w:rsidR="00E56758" w:rsidRPr="00D27272" w:rsidRDefault="00E56758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  <w:sz w:val="22"/>
                <w:szCs w:val="22"/>
              </w:rPr>
              <w:t xml:space="preserve">Crescita d’interesse e motivazione, in modo da </w:t>
            </w:r>
            <w:r w:rsidRPr="00D27272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favorire l’apprendimento di L2. </w:t>
            </w:r>
          </w:p>
          <w:p w:rsidR="00E56758" w:rsidRPr="00D27272" w:rsidRDefault="00E56758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  <w:sz w:val="22"/>
                <w:szCs w:val="22"/>
              </w:rPr>
              <w:t>Fornire agli studenti una preparazione specifica per sostenere e superare le prove d’esame</w:t>
            </w:r>
          </w:p>
          <w:p w:rsidR="00E56758" w:rsidRPr="00D27272" w:rsidRDefault="00E56758" w:rsidP="003E698A">
            <w:pPr>
              <w:numPr>
                <w:ilvl w:val="0"/>
                <w:numId w:val="22"/>
              </w:numPr>
              <w:rPr>
                <w:rFonts w:eastAsia="Calibri"/>
                <w:i/>
                <w:color w:val="000000" w:themeColor="text1"/>
                <w:lang w:eastAsia="en-US"/>
              </w:rPr>
            </w:pPr>
            <w:r w:rsidRPr="00D27272">
              <w:rPr>
                <w:bCs/>
                <w:color w:val="000000" w:themeColor="text1"/>
                <w:sz w:val="22"/>
                <w:szCs w:val="22"/>
              </w:rPr>
              <w:t xml:space="preserve">Testare e valutare le competenze linguistiche corrispondenti ai livelli B2( </w:t>
            </w:r>
            <w:proofErr w:type="spellStart"/>
            <w:r w:rsidRPr="00D27272">
              <w:rPr>
                <w:bCs/>
                <w:color w:val="000000" w:themeColor="text1"/>
                <w:sz w:val="22"/>
                <w:szCs w:val="22"/>
              </w:rPr>
              <w:t>grades</w:t>
            </w:r>
            <w:proofErr w:type="spellEnd"/>
            <w:r w:rsidRPr="00D27272">
              <w:rPr>
                <w:bCs/>
                <w:color w:val="000000" w:themeColor="text1"/>
                <w:sz w:val="22"/>
                <w:szCs w:val="22"/>
              </w:rPr>
              <w:t xml:space="preserve"> 7-8-9) del Quadro Comune Europeo di Riferimento</w:t>
            </w:r>
          </w:p>
          <w:p w:rsidR="00E56758" w:rsidRPr="00D27272" w:rsidRDefault="00E56758" w:rsidP="00E56758">
            <w:pPr>
              <w:ind w:left="720"/>
              <w:rPr>
                <w:rFonts w:eastAsia="Calibri"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F176E" w:rsidRPr="00D27272" w:rsidTr="006A2D71">
        <w:tc>
          <w:tcPr>
            <w:tcW w:w="4391" w:type="dxa"/>
          </w:tcPr>
          <w:p w:rsidR="00221994" w:rsidRDefault="002F176E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lastRenderedPageBreak/>
              <w:t>SPORTELLI DIDATTICI</w:t>
            </w:r>
            <w:r w:rsidR="00221994" w:rsidRPr="00D27272">
              <w:rPr>
                <w:b/>
              </w:rPr>
              <w:t xml:space="preserve"> - Corsi di recupero</w:t>
            </w:r>
            <w:r w:rsidR="003D714E">
              <w:rPr>
                <w:b/>
              </w:rPr>
              <w:t>/potenziamento</w:t>
            </w:r>
          </w:p>
          <w:p w:rsidR="006A2D71" w:rsidRPr="006A2D71" w:rsidRDefault="006A2D71" w:rsidP="006A2D71">
            <w:pPr>
              <w:pStyle w:val="Paragrafoelenco"/>
              <w:numPr>
                <w:ilvl w:val="0"/>
                <w:numId w:val="49"/>
              </w:numPr>
              <w:spacing w:after="200" w:line="276" w:lineRule="auto"/>
              <w:rPr>
                <w:b/>
              </w:rPr>
            </w:pPr>
            <w:r w:rsidRPr="006A2D71">
              <w:rPr>
                <w:b/>
              </w:rPr>
              <w:t>Diurno</w:t>
            </w:r>
          </w:p>
          <w:p w:rsidR="006A2D71" w:rsidRPr="006A2D71" w:rsidRDefault="006A2D71" w:rsidP="006A2D71">
            <w:pPr>
              <w:pStyle w:val="Paragrafoelenco"/>
              <w:numPr>
                <w:ilvl w:val="0"/>
                <w:numId w:val="49"/>
              </w:numPr>
              <w:spacing w:after="200" w:line="276" w:lineRule="auto"/>
              <w:rPr>
                <w:b/>
              </w:rPr>
            </w:pPr>
            <w:r w:rsidRPr="006A2D71">
              <w:rPr>
                <w:b/>
              </w:rPr>
              <w:t xml:space="preserve">Serale </w:t>
            </w:r>
          </w:p>
          <w:p w:rsidR="002F176E" w:rsidRPr="00D27272" w:rsidRDefault="002F176E" w:rsidP="001B2C19">
            <w:pPr>
              <w:spacing w:after="200" w:line="276" w:lineRule="auto"/>
              <w:rPr>
                <w:b/>
              </w:rPr>
            </w:pPr>
          </w:p>
        </w:tc>
        <w:tc>
          <w:tcPr>
            <w:tcW w:w="5463" w:type="dxa"/>
          </w:tcPr>
          <w:p w:rsidR="002F176E" w:rsidRPr="00D27272" w:rsidRDefault="002F176E" w:rsidP="003E698A">
            <w:pPr>
              <w:numPr>
                <w:ilvl w:val="0"/>
                <w:numId w:val="6"/>
              </w:numPr>
              <w:spacing w:line="276" w:lineRule="auto"/>
            </w:pPr>
            <w:r w:rsidRPr="00D27272">
              <w:t>Potenziare l’azione didattica curricolare in orario extracurricolare per gli allievi in difficoltà</w:t>
            </w:r>
          </w:p>
          <w:p w:rsidR="002F176E" w:rsidRPr="00D27272" w:rsidRDefault="002F176E" w:rsidP="003E698A">
            <w:pPr>
              <w:numPr>
                <w:ilvl w:val="0"/>
                <w:numId w:val="6"/>
              </w:numPr>
              <w:spacing w:line="276" w:lineRule="auto"/>
            </w:pPr>
            <w:r w:rsidRPr="00D27272">
              <w:t xml:space="preserve">Potenziare lo stile di apprendimento di ciascun allievo </w:t>
            </w:r>
          </w:p>
          <w:p w:rsidR="002F176E" w:rsidRPr="00D27272" w:rsidRDefault="002F176E" w:rsidP="003E698A">
            <w:pPr>
              <w:numPr>
                <w:ilvl w:val="0"/>
                <w:numId w:val="6"/>
              </w:numPr>
              <w:spacing w:line="276" w:lineRule="auto"/>
            </w:pPr>
            <w:r w:rsidRPr="00D27272">
              <w:t>Favorire l’acquisizione di un metodo di studio autonomo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B22530">
            <w:pPr>
              <w:spacing w:after="200" w:line="276" w:lineRule="auto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 xml:space="preserve">Sportello </w:t>
            </w:r>
            <w:proofErr w:type="spellStart"/>
            <w:r w:rsidRPr="00D27272">
              <w:rPr>
                <w:b/>
                <w:color w:val="000000" w:themeColor="text1"/>
              </w:rPr>
              <w:t>Bes</w:t>
            </w:r>
            <w:proofErr w:type="spellEnd"/>
            <w:r w:rsidRPr="00D27272">
              <w:rPr>
                <w:b/>
                <w:color w:val="000000" w:themeColor="text1"/>
              </w:rPr>
              <w:t xml:space="preserve"> a distanza</w:t>
            </w:r>
          </w:p>
        </w:tc>
        <w:tc>
          <w:tcPr>
            <w:tcW w:w="5463" w:type="dxa"/>
          </w:tcPr>
          <w:p w:rsidR="003C2836" w:rsidRPr="00D27272" w:rsidRDefault="006A2D71" w:rsidP="00B22530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G</w:t>
            </w:r>
            <w:r w:rsidR="003C2836"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enitori, gli alunni e i docenti potranno accedere al</w:t>
            </w:r>
            <w:r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lo</w:t>
            </w:r>
            <w:r w:rsidR="003C2836"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sportello attraverso la piattaforma di Google </w:t>
            </w:r>
            <w:proofErr w:type="spellStart"/>
            <w:r w:rsidR="003C2836"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Meet</w:t>
            </w:r>
            <w:proofErr w:type="spellEnd"/>
            <w:r w:rsidR="003C2836"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utilizzando il codice: </w:t>
            </w:r>
            <w:proofErr w:type="spellStart"/>
            <w:r w:rsidR="003C2836"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bes</w:t>
            </w:r>
            <w:proofErr w:type="spellEnd"/>
          </w:p>
          <w:p w:rsidR="003C2836" w:rsidRPr="00D27272" w:rsidRDefault="003C2836" w:rsidP="00B22530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:rsidR="003C2836" w:rsidRPr="00D27272" w:rsidRDefault="003C2836" w:rsidP="00B22530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L'attivazione dello Sportello BES a distanza pomeridiano, è finalizzato a rafforzare il supporto dedicato alla risoluzione di eventuali problematiche inerenti anche la DDI degli alunni con BES.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Preparazione Prima Prova esame di Stato</w:t>
            </w:r>
          </w:p>
        </w:tc>
        <w:tc>
          <w:tcPr>
            <w:tcW w:w="5463" w:type="dxa"/>
          </w:tcPr>
          <w:p w:rsidR="003C2836" w:rsidRPr="00D27272" w:rsidRDefault="003C2836" w:rsidP="003E698A">
            <w:pPr>
              <w:numPr>
                <w:ilvl w:val="0"/>
                <w:numId w:val="6"/>
              </w:numPr>
              <w:spacing w:line="276" w:lineRule="auto"/>
            </w:pPr>
            <w:r w:rsidRPr="00D27272">
              <w:t>Potenziamento delle abilità e competenze di scrittura per le tipologie previste per l’esame di stato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Preparazione prove INVALSI di Italiano</w:t>
            </w:r>
          </w:p>
          <w:p w:rsidR="003D714E" w:rsidRPr="00D27272" w:rsidRDefault="003D714E" w:rsidP="001B2C1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Classi seconde e classi quinte</w:t>
            </w:r>
          </w:p>
        </w:tc>
        <w:tc>
          <w:tcPr>
            <w:tcW w:w="5463" w:type="dxa"/>
          </w:tcPr>
          <w:p w:rsidR="003C2836" w:rsidRPr="00D27272" w:rsidRDefault="003C2836" w:rsidP="003D714E">
            <w:pPr>
              <w:numPr>
                <w:ilvl w:val="0"/>
                <w:numId w:val="6"/>
              </w:numPr>
              <w:spacing w:line="276" w:lineRule="auto"/>
            </w:pPr>
            <w:r w:rsidRPr="00D27272">
              <w:t xml:space="preserve">Recupero e potenziamento delle abilità e competenze di osservazione, analisi del testo,  sintesi e  di scrittura 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Default="003C2836" w:rsidP="00C16FE3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Preparazione prove INVALSI di Matematica</w:t>
            </w:r>
          </w:p>
          <w:p w:rsidR="003D714E" w:rsidRPr="00D27272" w:rsidRDefault="003D714E" w:rsidP="00C16F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Classi seconde e classi quinte</w:t>
            </w:r>
          </w:p>
        </w:tc>
        <w:tc>
          <w:tcPr>
            <w:tcW w:w="5463" w:type="dxa"/>
          </w:tcPr>
          <w:p w:rsidR="003C2836" w:rsidRPr="00D27272" w:rsidRDefault="003C2836" w:rsidP="003D714E">
            <w:pPr>
              <w:numPr>
                <w:ilvl w:val="0"/>
                <w:numId w:val="6"/>
              </w:numPr>
              <w:spacing w:line="276" w:lineRule="auto"/>
            </w:pPr>
            <w:r w:rsidRPr="00D27272">
              <w:t xml:space="preserve">Recupero e potenziamento delle abilità e competenze logico-matematiche  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Default="003D714E" w:rsidP="00C16F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</w:t>
            </w:r>
            <w:r w:rsidRPr="00D27272">
              <w:rPr>
                <w:b/>
              </w:rPr>
              <w:t xml:space="preserve">reparazione alla prova </w:t>
            </w:r>
            <w:r w:rsidR="003C2836" w:rsidRPr="00D27272">
              <w:rPr>
                <w:b/>
              </w:rPr>
              <w:t xml:space="preserve">INVALSI </w:t>
            </w:r>
            <w:r w:rsidRPr="00D27272">
              <w:rPr>
                <w:b/>
              </w:rPr>
              <w:t>di lingua inglese</w:t>
            </w:r>
          </w:p>
          <w:p w:rsidR="003D714E" w:rsidRPr="00D27272" w:rsidRDefault="003D714E" w:rsidP="00C16F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Classi seconde e classi quinte</w:t>
            </w:r>
          </w:p>
        </w:tc>
        <w:tc>
          <w:tcPr>
            <w:tcW w:w="5463" w:type="dxa"/>
          </w:tcPr>
          <w:p w:rsidR="003C2836" w:rsidRPr="00D27272" w:rsidRDefault="003C2836" w:rsidP="00533353">
            <w:pPr>
              <w:rPr>
                <w:rFonts w:eastAsia="Calibri"/>
                <w:b/>
                <w:i/>
                <w:lang w:eastAsia="en-US"/>
              </w:rPr>
            </w:pPr>
            <w:r w:rsidRPr="00D2727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Obiettivi</w:t>
            </w:r>
            <w:r w:rsidRPr="00D27272">
              <w:rPr>
                <w:b/>
                <w:bCs/>
                <w:sz w:val="28"/>
                <w:szCs w:val="28"/>
              </w:rPr>
              <w:t xml:space="preserve"> </w:t>
            </w:r>
          </w:p>
          <w:p w:rsidR="003C2836" w:rsidRPr="00D27272" w:rsidRDefault="003C2836" w:rsidP="003E698A">
            <w:pPr>
              <w:numPr>
                <w:ilvl w:val="0"/>
                <w:numId w:val="22"/>
              </w:numPr>
              <w:rPr>
                <w:rFonts w:eastAsia="Calibri"/>
                <w:i/>
                <w:lang w:eastAsia="en-US"/>
              </w:rPr>
            </w:pPr>
            <w:r w:rsidRPr="00D27272">
              <w:rPr>
                <w:bCs/>
                <w:sz w:val="22"/>
                <w:szCs w:val="22"/>
              </w:rPr>
              <w:t>Migliorare le competenze della ricezione (orale e scritta) riferiti al livello B2 del QCER</w:t>
            </w:r>
          </w:p>
          <w:p w:rsidR="003C2836" w:rsidRPr="00D27272" w:rsidRDefault="003C2836" w:rsidP="0011012E">
            <w:pPr>
              <w:ind w:left="360"/>
              <w:rPr>
                <w:b/>
                <w:bCs/>
                <w:i/>
              </w:rPr>
            </w:pPr>
            <w:r w:rsidRPr="00D27272">
              <w:rPr>
                <w:b/>
                <w:bCs/>
                <w:i/>
                <w:sz w:val="22"/>
                <w:szCs w:val="22"/>
              </w:rPr>
              <w:t>ASCOLTO</w:t>
            </w:r>
          </w:p>
          <w:p w:rsidR="003C2836" w:rsidRPr="00D27272" w:rsidRDefault="003C2836" w:rsidP="003E698A">
            <w:pPr>
              <w:numPr>
                <w:ilvl w:val="0"/>
                <w:numId w:val="23"/>
              </w:numPr>
              <w:rPr>
                <w:rFonts w:eastAsia="Calibri"/>
                <w:i/>
                <w:lang w:eastAsia="en-US"/>
              </w:rPr>
            </w:pPr>
            <w:r w:rsidRPr="00D27272">
              <w:rPr>
                <w:bCs/>
                <w:sz w:val="22"/>
                <w:szCs w:val="22"/>
              </w:rPr>
              <w:t xml:space="preserve">Lo studente riesce a capire discorsi di una certa lunghezza e conferenze e a seguire argomentazioni anche complesse </w:t>
            </w:r>
            <w:proofErr w:type="spellStart"/>
            <w:r w:rsidRPr="00D27272">
              <w:rPr>
                <w:bCs/>
                <w:sz w:val="22"/>
                <w:szCs w:val="22"/>
              </w:rPr>
              <w:t>purchè</w:t>
            </w:r>
            <w:proofErr w:type="spellEnd"/>
            <w:r w:rsidRPr="00D27272">
              <w:rPr>
                <w:bCs/>
                <w:sz w:val="22"/>
                <w:szCs w:val="22"/>
              </w:rPr>
              <w:t xml:space="preserve"> il tema gli sia familiare.</w:t>
            </w:r>
          </w:p>
          <w:p w:rsidR="003C2836" w:rsidRPr="00D27272" w:rsidRDefault="003C2836" w:rsidP="003E698A">
            <w:pPr>
              <w:numPr>
                <w:ilvl w:val="0"/>
                <w:numId w:val="23"/>
              </w:numPr>
              <w:rPr>
                <w:rFonts w:eastAsia="Calibri"/>
                <w:i/>
                <w:lang w:eastAsia="en-US"/>
              </w:rPr>
            </w:pPr>
            <w:r w:rsidRPr="00D27272">
              <w:rPr>
                <w:bCs/>
                <w:sz w:val="22"/>
                <w:szCs w:val="22"/>
              </w:rPr>
              <w:t>Lo studente riesce a capire la maggior parte dei notiziari e delle trasmissioni TV che riguardano fatti di attualità e la maggior parte dei film in lingua standard.</w:t>
            </w:r>
          </w:p>
          <w:p w:rsidR="003C2836" w:rsidRPr="00D27272" w:rsidRDefault="003C2836" w:rsidP="0011012E">
            <w:pPr>
              <w:rPr>
                <w:b/>
                <w:bCs/>
                <w:i/>
              </w:rPr>
            </w:pPr>
            <w:r w:rsidRPr="00D27272">
              <w:rPr>
                <w:b/>
                <w:bCs/>
                <w:i/>
                <w:sz w:val="22"/>
                <w:szCs w:val="22"/>
              </w:rPr>
              <w:t xml:space="preserve">      LETTURA </w:t>
            </w:r>
          </w:p>
          <w:p w:rsidR="003C2836" w:rsidRPr="00D27272" w:rsidRDefault="003C2836" w:rsidP="003E698A">
            <w:pPr>
              <w:numPr>
                <w:ilvl w:val="0"/>
                <w:numId w:val="24"/>
              </w:numPr>
              <w:rPr>
                <w:bCs/>
              </w:rPr>
            </w:pPr>
            <w:r w:rsidRPr="00D27272">
              <w:rPr>
                <w:bCs/>
                <w:sz w:val="22"/>
                <w:szCs w:val="22"/>
              </w:rPr>
              <w:t xml:space="preserve">Lo studente riesce a leggere articoli e relazioni su </w:t>
            </w:r>
            <w:r w:rsidRPr="00D27272">
              <w:rPr>
                <w:bCs/>
                <w:sz w:val="22"/>
                <w:szCs w:val="22"/>
              </w:rPr>
              <w:lastRenderedPageBreak/>
              <w:t>questioni di attualità in cui l’autore prende posizione ed esprime un punto di vista determinato</w:t>
            </w:r>
          </w:p>
          <w:p w:rsidR="003C2836" w:rsidRPr="00D27272" w:rsidRDefault="003C2836" w:rsidP="003E698A">
            <w:pPr>
              <w:numPr>
                <w:ilvl w:val="0"/>
                <w:numId w:val="24"/>
              </w:numPr>
              <w:rPr>
                <w:bCs/>
              </w:rPr>
            </w:pPr>
            <w:r w:rsidRPr="00D27272">
              <w:rPr>
                <w:bCs/>
                <w:sz w:val="22"/>
                <w:szCs w:val="22"/>
              </w:rPr>
              <w:t>Lo studente riesce a comprendere un testo narrativo contemporaneo</w:t>
            </w:r>
          </w:p>
          <w:p w:rsidR="003C2836" w:rsidRPr="00D27272" w:rsidRDefault="003C2836" w:rsidP="003E698A">
            <w:pPr>
              <w:numPr>
                <w:ilvl w:val="0"/>
                <w:numId w:val="24"/>
              </w:numPr>
              <w:rPr>
                <w:bCs/>
              </w:rPr>
            </w:pPr>
            <w:r w:rsidRPr="00D27272">
              <w:rPr>
                <w:bCs/>
              </w:rPr>
              <w:t xml:space="preserve">Sviluppare la capacità </w:t>
            </w:r>
            <w:proofErr w:type="spellStart"/>
            <w:r w:rsidRPr="00D27272">
              <w:rPr>
                <w:bCs/>
              </w:rPr>
              <w:t>attentiva</w:t>
            </w:r>
            <w:proofErr w:type="spellEnd"/>
            <w:r w:rsidRPr="00D27272">
              <w:rPr>
                <w:bCs/>
              </w:rPr>
              <w:t xml:space="preserve"> e di concentrazione. </w:t>
            </w:r>
          </w:p>
          <w:p w:rsidR="003C2836" w:rsidRPr="00D27272" w:rsidRDefault="003C2836" w:rsidP="003E698A">
            <w:pPr>
              <w:numPr>
                <w:ilvl w:val="0"/>
                <w:numId w:val="24"/>
              </w:numPr>
              <w:rPr>
                <w:bCs/>
              </w:rPr>
            </w:pPr>
            <w:r w:rsidRPr="00D27272">
              <w:rPr>
                <w:bCs/>
              </w:rPr>
              <w:t xml:space="preserve">Eseguire entro un tempo stabilito un’attività in piena autonomia e stabilire obiettivi e procedure. </w:t>
            </w:r>
          </w:p>
          <w:p w:rsidR="003C2836" w:rsidRPr="00D27272" w:rsidRDefault="003C2836" w:rsidP="003E698A">
            <w:pPr>
              <w:numPr>
                <w:ilvl w:val="0"/>
                <w:numId w:val="24"/>
              </w:numPr>
              <w:rPr>
                <w:bCs/>
              </w:rPr>
            </w:pPr>
            <w:r w:rsidRPr="00D27272">
              <w:rPr>
                <w:bCs/>
              </w:rPr>
              <w:t>Consolidare la capacità di usare correttamente gli strumenti di lavoro.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Default="003C2836" w:rsidP="00C16FE3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lastRenderedPageBreak/>
              <w:t>Preparazione ai TEST UNIVERSITARI</w:t>
            </w:r>
          </w:p>
          <w:p w:rsidR="003D714E" w:rsidRPr="00D27272" w:rsidRDefault="003D714E" w:rsidP="00C16F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Classi quinte</w:t>
            </w:r>
          </w:p>
          <w:p w:rsidR="003C2836" w:rsidRPr="00D27272" w:rsidRDefault="003C2836" w:rsidP="00224A8A"/>
          <w:p w:rsidR="003C2836" w:rsidRPr="00D27272" w:rsidRDefault="003C2836" w:rsidP="00224A8A"/>
          <w:p w:rsidR="003C2836" w:rsidRPr="00D27272" w:rsidRDefault="003C2836" w:rsidP="00224A8A"/>
          <w:p w:rsidR="003C2836" w:rsidRPr="00D27272" w:rsidRDefault="003C2836" w:rsidP="00224A8A"/>
          <w:p w:rsidR="003C2836" w:rsidRPr="00D27272" w:rsidRDefault="003C2836" w:rsidP="00224A8A"/>
          <w:p w:rsidR="003C2836" w:rsidRPr="00D27272" w:rsidRDefault="003C2836" w:rsidP="00224A8A">
            <w:pPr>
              <w:tabs>
                <w:tab w:val="left" w:pos="3000"/>
              </w:tabs>
            </w:pPr>
            <w:r w:rsidRPr="00D27272">
              <w:tab/>
            </w:r>
          </w:p>
        </w:tc>
        <w:tc>
          <w:tcPr>
            <w:tcW w:w="5463" w:type="dxa"/>
          </w:tcPr>
          <w:p w:rsidR="003C2836" w:rsidRPr="00D27272" w:rsidRDefault="003C2836" w:rsidP="00224A8A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D27272">
              <w:rPr>
                <w:rFonts w:eastAsia="Calibri"/>
                <w:b/>
                <w:i/>
                <w:sz w:val="22"/>
                <w:szCs w:val="22"/>
                <w:lang w:eastAsia="en-US"/>
              </w:rPr>
              <w:tab/>
            </w:r>
            <w:r w:rsidRPr="00D27272">
              <w:rPr>
                <w:rFonts w:eastAsia="Calibri"/>
                <w:i/>
                <w:sz w:val="22"/>
                <w:szCs w:val="22"/>
                <w:lang w:eastAsia="en-US"/>
              </w:rPr>
              <w:t>Obiettivi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D27272">
              <w:rPr>
                <w:rFonts w:ascii="Times New Roman" w:eastAsia="Calibri" w:hAnsi="Times New Roman" w:cs="Times New Roman"/>
                <w:lang w:eastAsia="en-US"/>
              </w:rPr>
              <w:t xml:space="preserve">fornire agli alunni una preparazione specifica su argomenti di matematica, chimica, fisica, biologia ed anatomia ricorrenti nei test di ammissione ai corsi di laurea scientifica; 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lang w:eastAsia="en-US"/>
              </w:rPr>
            </w:pPr>
            <w:r w:rsidRPr="00D27272">
              <w:rPr>
                <w:rFonts w:ascii="Times New Roman" w:eastAsia="Calibri" w:hAnsi="Times New Roman" w:cs="Times New Roman"/>
                <w:lang w:eastAsia="en-US"/>
              </w:rPr>
              <w:t>fornire occasioni di esercitazione attraverso la somministrazione di prove di simulazione durante attività laboratoriali;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D27272">
              <w:rPr>
                <w:rFonts w:ascii="Times New Roman" w:eastAsia="Calibri" w:hAnsi="Times New Roman" w:cs="Times New Roman"/>
                <w:lang w:eastAsia="en-US"/>
              </w:rPr>
              <w:t>orientare gli studenti alla scelta del corso di laurea.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</w:pPr>
            <w:r w:rsidRPr="00D27272">
              <w:rPr>
                <w:b/>
              </w:rPr>
              <w:t>GIORNALE SCOLASTICO: MADEINMEDI</w:t>
            </w:r>
            <w:r w:rsidRPr="00D27272">
              <w:t xml:space="preserve"> </w:t>
            </w:r>
            <w:r w:rsidRPr="00D27272">
              <w:rPr>
                <w:b/>
              </w:rPr>
              <w:t>“REPUBBLICASCUOLA”</w:t>
            </w:r>
          </w:p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(Italiano)</w:t>
            </w:r>
          </w:p>
        </w:tc>
        <w:tc>
          <w:tcPr>
            <w:tcW w:w="5463" w:type="dxa"/>
          </w:tcPr>
          <w:p w:rsidR="003C2836" w:rsidRPr="00D27272" w:rsidRDefault="003C2836" w:rsidP="003E698A">
            <w:pPr>
              <w:pStyle w:val="Paragrafoelenco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27272">
              <w:rPr>
                <w:rFonts w:ascii="Times New Roman" w:hAnsi="Times New Roman" w:cs="Times New Roman"/>
              </w:rPr>
              <w:t>Attivare e migliorare le competenze comunicative degli alunni mediante l’utilizzo dei diversi linguaggi.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27272">
              <w:rPr>
                <w:rFonts w:ascii="Times New Roman" w:hAnsi="Times New Roman" w:cs="Times New Roman"/>
              </w:rPr>
              <w:t>Incentivare la scrittura ed altre forme di espressione come processo comunicativo.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27272">
              <w:rPr>
                <w:rFonts w:ascii="Times New Roman" w:hAnsi="Times New Roman" w:cs="Times New Roman"/>
              </w:rPr>
              <w:t>Avvicinare gli alunni al mondo dell’informazione in generale ed al giornale in particolare.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27272">
              <w:rPr>
                <w:rFonts w:ascii="Times New Roman" w:hAnsi="Times New Roman" w:cs="Times New Roman"/>
              </w:rPr>
              <w:t>Sviluppare la capacità di osservazione, analisi, sintesi nel pensiero e nella scrittura.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D27272">
              <w:rPr>
                <w:rFonts w:ascii="Times New Roman" w:hAnsi="Times New Roman" w:cs="Times New Roman"/>
              </w:rPr>
              <w:t>Conoscere le caratteristiche generali di un quotidiano.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CINEFORUM</w:t>
            </w:r>
          </w:p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in modalità a distanza con l’utilizzo di piattaforme autorizzate dal MIUR</w:t>
            </w:r>
          </w:p>
        </w:tc>
        <w:tc>
          <w:tcPr>
            <w:tcW w:w="5463" w:type="dxa"/>
          </w:tcPr>
          <w:p w:rsidR="003C2836" w:rsidRPr="00D27272" w:rsidRDefault="003C2836" w:rsidP="001B2C19">
            <w:pPr>
              <w:spacing w:line="276" w:lineRule="auto"/>
            </w:pPr>
            <w:r w:rsidRPr="00D27272">
              <w:t>Sviluppare le capacità di:</w:t>
            </w:r>
          </w:p>
          <w:p w:rsidR="003C2836" w:rsidRPr="00D27272" w:rsidRDefault="003C2836" w:rsidP="003E698A">
            <w:pPr>
              <w:numPr>
                <w:ilvl w:val="0"/>
                <w:numId w:val="2"/>
              </w:numPr>
              <w:spacing w:line="276" w:lineRule="auto"/>
            </w:pPr>
            <w:r w:rsidRPr="00D27272">
              <w:t>Leggere criticamente le immagini cinematografiche</w:t>
            </w:r>
          </w:p>
          <w:p w:rsidR="003C2836" w:rsidRPr="00D27272" w:rsidRDefault="003C2836" w:rsidP="003E698A">
            <w:pPr>
              <w:numPr>
                <w:ilvl w:val="0"/>
                <w:numId w:val="2"/>
              </w:numPr>
              <w:spacing w:line="276" w:lineRule="auto"/>
            </w:pPr>
            <w:r w:rsidRPr="00D27272">
              <w:t>Coglierne il messaggio</w:t>
            </w:r>
          </w:p>
          <w:p w:rsidR="003C2836" w:rsidRPr="00D27272" w:rsidRDefault="003C2836" w:rsidP="003E698A">
            <w:pPr>
              <w:numPr>
                <w:ilvl w:val="0"/>
                <w:numId w:val="2"/>
              </w:numPr>
              <w:spacing w:line="276" w:lineRule="auto"/>
            </w:pPr>
            <w:r w:rsidRPr="00D27272">
              <w:t>Saper collocare il contesto nelle modalità spazio – tempo</w:t>
            </w:r>
          </w:p>
          <w:p w:rsidR="003C2836" w:rsidRPr="00D27272" w:rsidRDefault="003C2836" w:rsidP="003E698A">
            <w:pPr>
              <w:numPr>
                <w:ilvl w:val="0"/>
                <w:numId w:val="2"/>
              </w:numPr>
              <w:spacing w:line="276" w:lineRule="auto"/>
            </w:pPr>
            <w:r w:rsidRPr="00D27272">
              <w:t xml:space="preserve">Analizzare personaggi e situazioni </w:t>
            </w:r>
          </w:p>
          <w:p w:rsidR="003C2836" w:rsidRPr="00D27272" w:rsidRDefault="003C2836" w:rsidP="003E698A">
            <w:pPr>
              <w:numPr>
                <w:ilvl w:val="0"/>
                <w:numId w:val="2"/>
              </w:numPr>
              <w:spacing w:line="276" w:lineRule="auto"/>
            </w:pPr>
            <w:r w:rsidRPr="00D27272">
              <w:t>Giudicare il film nei suoi valori estetici, culturali, morali,</w:t>
            </w:r>
          </w:p>
          <w:p w:rsidR="003C2836" w:rsidRPr="00D27272" w:rsidRDefault="003C2836" w:rsidP="001B2C19">
            <w:pPr>
              <w:spacing w:line="276" w:lineRule="auto"/>
            </w:pPr>
            <w:r w:rsidRPr="00D27272">
              <w:t>didattici</w:t>
            </w:r>
          </w:p>
          <w:p w:rsidR="003C2836" w:rsidRPr="00D27272" w:rsidRDefault="003C2836" w:rsidP="003E698A">
            <w:pPr>
              <w:numPr>
                <w:ilvl w:val="0"/>
                <w:numId w:val="2"/>
              </w:numPr>
              <w:spacing w:line="276" w:lineRule="auto"/>
            </w:pPr>
            <w:r w:rsidRPr="00D27272">
              <w:t>Promuovere un sapere che faccia spazio al mondo degli altri</w:t>
            </w:r>
          </w:p>
          <w:p w:rsidR="003C2836" w:rsidRPr="00D27272" w:rsidRDefault="003C2836" w:rsidP="003E698A">
            <w:pPr>
              <w:numPr>
                <w:ilvl w:val="0"/>
                <w:numId w:val="2"/>
              </w:numPr>
              <w:spacing w:line="276" w:lineRule="auto"/>
            </w:pPr>
            <w:r w:rsidRPr="00D27272">
              <w:t>Favorire la scrittura di analisi filmiche, recensioni e commenti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lastRenderedPageBreak/>
              <w:t>Letture di legalità</w:t>
            </w:r>
          </w:p>
          <w:p w:rsidR="003C2836" w:rsidRPr="00D27272" w:rsidRDefault="003D714E" w:rsidP="003D714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Per l’A.S. 2021</w:t>
            </w:r>
            <w:r w:rsidR="006A2D71">
              <w:rPr>
                <w:b/>
              </w:rPr>
              <w:t>/2022</w:t>
            </w:r>
            <w:r w:rsidR="003C2836" w:rsidRPr="00D27272">
              <w:rPr>
                <w:b/>
              </w:rPr>
              <w:t xml:space="preserve"> </w:t>
            </w:r>
            <w:r>
              <w:rPr>
                <w:b/>
              </w:rPr>
              <w:t xml:space="preserve">incontro con </w:t>
            </w:r>
            <w:r w:rsidR="003C2836" w:rsidRPr="00D27272">
              <w:rPr>
                <w:b/>
              </w:rPr>
              <w:t>il gior</w:t>
            </w:r>
            <w:r>
              <w:rPr>
                <w:b/>
              </w:rPr>
              <w:t>n</w:t>
            </w:r>
            <w:r w:rsidR="003C2836" w:rsidRPr="00D27272">
              <w:rPr>
                <w:b/>
              </w:rPr>
              <w:t xml:space="preserve">alista Marco Esposito, autore del libro FAKE SUD </w:t>
            </w:r>
          </w:p>
        </w:tc>
        <w:tc>
          <w:tcPr>
            <w:tcW w:w="5463" w:type="dxa"/>
          </w:tcPr>
          <w:p w:rsidR="003C2836" w:rsidRPr="006F4BA4" w:rsidRDefault="003C2836" w:rsidP="006F4BA4">
            <w:pPr>
              <w:jc w:val="both"/>
            </w:pPr>
            <w:r w:rsidRPr="006F4BA4">
              <w:t>St</w:t>
            </w:r>
            <w:r w:rsidR="003D714E">
              <w:t>i</w:t>
            </w:r>
            <w:r w:rsidRPr="006F4BA4">
              <w:t>molare alla riflessione delle regole della     convivenza democratica</w:t>
            </w:r>
            <w:r w:rsidR="006F4BA4">
              <w:t xml:space="preserve">; </w:t>
            </w:r>
            <w:r w:rsidRPr="006F4BA4">
              <w:t>promuovere la cultura della legalità</w:t>
            </w:r>
            <w:r w:rsidR="006F4BA4">
              <w:t xml:space="preserve">; </w:t>
            </w:r>
            <w:r w:rsidRPr="006F4BA4">
              <w:t>guidare alla autoconsapevolezza dei propri comportamenti</w:t>
            </w:r>
          </w:p>
          <w:p w:rsidR="003C2836" w:rsidRPr="006F4BA4" w:rsidRDefault="003C2836" w:rsidP="006F4BA4">
            <w:pPr>
              <w:jc w:val="both"/>
            </w:pPr>
            <w:r w:rsidRPr="006F4BA4">
              <w:t>Il progetto prevede l’incontro con l’autore del libro. Nota bene</w:t>
            </w:r>
          </w:p>
          <w:p w:rsidR="003C2836" w:rsidRPr="006F4BA4" w:rsidRDefault="003D714E" w:rsidP="006F4BA4">
            <w:pPr>
              <w:jc w:val="both"/>
            </w:pPr>
            <w:r>
              <w:rPr>
                <w:b/>
              </w:rPr>
              <w:t xml:space="preserve"> Per l’A.S. 2021/2022</w:t>
            </w:r>
            <w:r w:rsidR="003C2836" w:rsidRPr="006F4BA4">
              <w:rPr>
                <w:b/>
              </w:rPr>
              <w:t xml:space="preserve"> l’autore coinvolto nel progetto sarà il gior</w:t>
            </w:r>
            <w:r w:rsidR="006A2D71">
              <w:rPr>
                <w:b/>
              </w:rPr>
              <w:t>n</w:t>
            </w:r>
            <w:r w:rsidR="003C2836" w:rsidRPr="006F4BA4">
              <w:rPr>
                <w:b/>
              </w:rPr>
              <w:t xml:space="preserve">alista Marco Esposito, autore del libro FAKE SUD </w:t>
            </w:r>
          </w:p>
        </w:tc>
      </w:tr>
      <w:tr w:rsidR="0028045D" w:rsidRPr="00D27272" w:rsidTr="006A2D71">
        <w:tc>
          <w:tcPr>
            <w:tcW w:w="4391" w:type="dxa"/>
          </w:tcPr>
          <w:p w:rsidR="0028045D" w:rsidRPr="00D27272" w:rsidRDefault="0028045D" w:rsidP="001B2C1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GRUPPO SPORTIVO</w:t>
            </w:r>
          </w:p>
        </w:tc>
        <w:tc>
          <w:tcPr>
            <w:tcW w:w="5463" w:type="dxa"/>
          </w:tcPr>
          <w:p w:rsidR="006F4BA4" w:rsidRPr="006F4BA4" w:rsidRDefault="0028045D" w:rsidP="006F4BA4">
            <w:r w:rsidRPr="006F4BA4">
              <w:t xml:space="preserve">Favorire la promozione di una cultura sportiva tra gli alunni; Favorire i processi di crescita psicologica, emotiva, sociale oltre che fisica. </w:t>
            </w:r>
            <w:r w:rsidR="006F4BA4" w:rsidRPr="006F4BA4">
              <w:t>Favorire</w:t>
            </w:r>
            <w:r w:rsidRPr="006F4BA4">
              <w:t xml:space="preserve"> l’inclusione delle fasce più deboli presenti nella nostra</w:t>
            </w:r>
            <w:r w:rsidR="006F4BA4" w:rsidRPr="006F4BA4">
              <w:t xml:space="preserve"> </w:t>
            </w:r>
            <w:r w:rsidRPr="006F4BA4">
              <w:t xml:space="preserve">comunità scolastica. </w:t>
            </w:r>
          </w:p>
          <w:p w:rsidR="0028045D" w:rsidRPr="006F4BA4" w:rsidRDefault="006F4BA4" w:rsidP="006F4BA4">
            <w:proofErr w:type="spellStart"/>
            <w:r w:rsidRPr="006F4BA4">
              <w:t>Il</w:t>
            </w:r>
            <w:r w:rsidR="0028045D" w:rsidRPr="006F4BA4">
              <w:t>progetto</w:t>
            </w:r>
            <w:proofErr w:type="spellEnd"/>
            <w:r w:rsidR="0028045D" w:rsidRPr="006F4BA4">
              <w:t xml:space="preserve"> </w:t>
            </w:r>
            <w:r w:rsidRPr="006F4BA4">
              <w:t>è</w:t>
            </w:r>
            <w:r w:rsidR="0028045D" w:rsidRPr="006F4BA4">
              <w:t xml:space="preserve"> destinato agli alunni che saranno preparati</w:t>
            </w:r>
            <w:r w:rsidRPr="006F4BA4">
              <w:t xml:space="preserve"> </w:t>
            </w:r>
            <w:r w:rsidR="0028045D" w:rsidRPr="006F4BA4">
              <w:t xml:space="preserve">alla partecipazione dei campionati studenteschi (in caso di organizzazione del </w:t>
            </w:r>
            <w:proofErr w:type="spellStart"/>
            <w:r w:rsidR="0028045D" w:rsidRPr="006F4BA4">
              <w:t>Miur</w:t>
            </w:r>
            <w:proofErr w:type="spellEnd"/>
            <w:r w:rsidR="0028045D" w:rsidRPr="006F4BA4">
              <w:t>/uff sportivo regionale).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PROGETTO ORIENTAMENTO</w:t>
            </w:r>
          </w:p>
        </w:tc>
        <w:tc>
          <w:tcPr>
            <w:tcW w:w="5463" w:type="dxa"/>
          </w:tcPr>
          <w:p w:rsidR="003C2836" w:rsidRPr="00D27272" w:rsidRDefault="003C2836" w:rsidP="001B2C19">
            <w:pPr>
              <w:spacing w:line="276" w:lineRule="auto"/>
            </w:pPr>
            <w:r w:rsidRPr="00D27272">
              <w:rPr>
                <w:u w:val="single"/>
              </w:rPr>
              <w:t>In Entrata</w:t>
            </w:r>
            <w:r w:rsidRPr="00D27272">
              <w:t xml:space="preserve"> (destinatari: Docenti della Scuola Media Inferiore, alunni di Terza Media)</w:t>
            </w:r>
          </w:p>
          <w:p w:rsidR="003C2836" w:rsidRPr="00D27272" w:rsidRDefault="003C2836" w:rsidP="003E698A">
            <w:pPr>
              <w:numPr>
                <w:ilvl w:val="0"/>
                <w:numId w:val="4"/>
              </w:numPr>
              <w:spacing w:line="276" w:lineRule="auto"/>
              <w:ind w:left="0"/>
              <w:jc w:val="both"/>
            </w:pPr>
            <w:r w:rsidRPr="00D27272">
              <w:t xml:space="preserve"> Fornire ai discenti, che devono iscriversi alla Scuola Media Superiore, una corretta informazione che permetta loro e alle famiglie di conoscere il curriculum di studi e il tipo di specializzazione offerto dall'Istituto.</w:t>
            </w:r>
          </w:p>
          <w:p w:rsidR="003C2836" w:rsidRPr="00D27272" w:rsidRDefault="003C2836" w:rsidP="006F4BA4">
            <w:pPr>
              <w:pStyle w:val="Paragrafoelenco"/>
              <w:spacing w:line="276" w:lineRule="auto"/>
              <w:ind w:left="73"/>
              <w:jc w:val="both"/>
              <w:rPr>
                <w:rFonts w:ascii="Times New Roman" w:hAnsi="Times New Roman" w:cs="Times New Roman"/>
              </w:rPr>
            </w:pPr>
            <w:r w:rsidRPr="00D27272">
              <w:rPr>
                <w:rFonts w:ascii="Times New Roman" w:hAnsi="Times New Roman" w:cs="Times New Roman"/>
              </w:rPr>
              <w:t>Dare visibilità alla scuola attraverso materiale appositamente preparato e aggiornato (</w:t>
            </w:r>
            <w:proofErr w:type="spellStart"/>
            <w:r w:rsidRPr="00D27272">
              <w:rPr>
                <w:rFonts w:ascii="Times New Roman" w:hAnsi="Times New Roman" w:cs="Times New Roman"/>
              </w:rPr>
              <w:t>depliant</w:t>
            </w:r>
            <w:proofErr w:type="spellEnd"/>
            <w:r w:rsidRPr="00D27272">
              <w:rPr>
                <w:rFonts w:ascii="Times New Roman" w:hAnsi="Times New Roman" w:cs="Times New Roman"/>
              </w:rPr>
              <w:t xml:space="preserve">, folders, opuscoletti P.T.O.F., manifesti, </w:t>
            </w:r>
            <w:proofErr w:type="spellStart"/>
            <w:r w:rsidRPr="00D27272">
              <w:rPr>
                <w:rFonts w:ascii="Times New Roman" w:hAnsi="Times New Roman" w:cs="Times New Roman"/>
              </w:rPr>
              <w:t>gadgets</w:t>
            </w:r>
            <w:proofErr w:type="spellEnd"/>
            <w:r w:rsidRPr="00D272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7272">
              <w:rPr>
                <w:rFonts w:ascii="Times New Roman" w:hAnsi="Times New Roman" w:cs="Times New Roman"/>
              </w:rPr>
              <w:t>openday</w:t>
            </w:r>
            <w:proofErr w:type="spellEnd"/>
            <w:r w:rsidRPr="00D27272">
              <w:rPr>
                <w:rFonts w:ascii="Times New Roman" w:hAnsi="Times New Roman" w:cs="Times New Roman"/>
              </w:rPr>
              <w:t>, seminari sul territorio...).</w:t>
            </w:r>
          </w:p>
          <w:p w:rsidR="003C2836" w:rsidRPr="00D27272" w:rsidRDefault="003C2836" w:rsidP="001B2C19">
            <w:pPr>
              <w:spacing w:line="276" w:lineRule="auto"/>
            </w:pPr>
            <w:r w:rsidRPr="00D27272">
              <w:rPr>
                <w:u w:val="single"/>
              </w:rPr>
              <w:t xml:space="preserve">In Itinere </w:t>
            </w:r>
            <w:r w:rsidRPr="00D27272">
              <w:t>(destinatari: Alunni delle classi Seconde)</w:t>
            </w:r>
          </w:p>
          <w:p w:rsidR="003C2836" w:rsidRPr="00D27272" w:rsidRDefault="003C2836" w:rsidP="006F4BA4">
            <w:pPr>
              <w:spacing w:line="276" w:lineRule="auto"/>
              <w:ind w:left="360"/>
            </w:pPr>
            <w:r w:rsidRPr="00D27272">
              <w:t>supportare gli studenti nella scelta dell’articolazione dell’indirizzo di studi scelto del triennio</w:t>
            </w:r>
          </w:p>
          <w:p w:rsidR="003C2836" w:rsidRPr="00D27272" w:rsidRDefault="003C2836" w:rsidP="001B2C19">
            <w:pPr>
              <w:spacing w:line="276" w:lineRule="auto"/>
            </w:pPr>
            <w:r w:rsidRPr="00D27272">
              <w:rPr>
                <w:u w:val="single"/>
              </w:rPr>
              <w:t>In uscita</w:t>
            </w:r>
            <w:r w:rsidRPr="00D27272">
              <w:t xml:space="preserve"> (destinatari: Alunni delle classi Quarte e Quinte)</w:t>
            </w:r>
          </w:p>
          <w:p w:rsidR="003C2836" w:rsidRPr="00D27272" w:rsidRDefault="003C2836" w:rsidP="006F4BA4">
            <w:pPr>
              <w:spacing w:line="276" w:lineRule="auto"/>
              <w:ind w:left="360"/>
            </w:pPr>
            <w:r w:rsidRPr="00D27272">
              <w:t>sostenere il processo di scelta degli studenti in funzione degli studi universitari, della qualificazione professionale e del lavoro.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>MINI STAGE PER SCUOLE DI PRIMO GRADO (ORIENTAMENTO IN INGRESSO)</w:t>
            </w:r>
          </w:p>
          <w:p w:rsidR="003C2836" w:rsidRPr="00D27272" w:rsidRDefault="003C2836" w:rsidP="001B2C19">
            <w:pPr>
              <w:spacing w:after="200" w:line="276" w:lineRule="auto"/>
              <w:rPr>
                <w:b/>
                <w:color w:val="000000" w:themeColor="text1"/>
              </w:rPr>
            </w:pPr>
          </w:p>
        </w:tc>
        <w:tc>
          <w:tcPr>
            <w:tcW w:w="5463" w:type="dxa"/>
          </w:tcPr>
          <w:p w:rsidR="003C2836" w:rsidRPr="007812A6" w:rsidRDefault="003C2836" w:rsidP="007812A6">
            <w:pPr>
              <w:spacing w:line="276" w:lineRule="auto"/>
              <w:rPr>
                <w:color w:val="000000" w:themeColor="text1"/>
              </w:rPr>
            </w:pPr>
            <w:r w:rsidRPr="007812A6">
              <w:rPr>
                <w:color w:val="000000" w:themeColor="text1"/>
              </w:rPr>
              <w:t>Aiutare i ragazzi a definire i propri punti di forza e di debolezza;</w:t>
            </w:r>
          </w:p>
          <w:p w:rsidR="003C2836" w:rsidRPr="007812A6" w:rsidRDefault="003C2836" w:rsidP="007812A6">
            <w:pPr>
              <w:spacing w:line="276" w:lineRule="auto"/>
              <w:rPr>
                <w:color w:val="000000" w:themeColor="text1"/>
              </w:rPr>
            </w:pPr>
            <w:r w:rsidRPr="007812A6">
              <w:rPr>
                <w:color w:val="000000" w:themeColor="text1"/>
              </w:rPr>
              <w:t>Guidare gli alunni/e a scelte motivate e consapevoli per la costruzione del personale progetto di vita;</w:t>
            </w:r>
          </w:p>
          <w:p w:rsidR="003C2836" w:rsidRPr="007812A6" w:rsidRDefault="003C2836" w:rsidP="007812A6">
            <w:pPr>
              <w:spacing w:line="276" w:lineRule="auto"/>
              <w:rPr>
                <w:color w:val="000000" w:themeColor="text1"/>
              </w:rPr>
            </w:pPr>
            <w:r w:rsidRPr="007812A6">
              <w:rPr>
                <w:color w:val="000000" w:themeColor="text1"/>
              </w:rPr>
              <w:t>Far emergere attitudini, inclinazioni e motivazioni;</w:t>
            </w:r>
          </w:p>
          <w:p w:rsidR="003C2836" w:rsidRPr="007812A6" w:rsidRDefault="003C2836" w:rsidP="007812A6">
            <w:pPr>
              <w:spacing w:line="276" w:lineRule="auto"/>
              <w:rPr>
                <w:color w:val="000000" w:themeColor="text1"/>
              </w:rPr>
            </w:pPr>
            <w:r w:rsidRPr="007812A6">
              <w:rPr>
                <w:color w:val="000000" w:themeColor="text1"/>
              </w:rPr>
              <w:t>Fornire gli strumenti per raccogliere informazioni sulle diverse opportunità formative.</w:t>
            </w:r>
          </w:p>
          <w:p w:rsidR="003C2836" w:rsidRPr="007812A6" w:rsidRDefault="003C2836" w:rsidP="007812A6">
            <w:pPr>
              <w:spacing w:line="276" w:lineRule="auto"/>
              <w:rPr>
                <w:color w:val="000000" w:themeColor="text1"/>
              </w:rPr>
            </w:pPr>
            <w:r w:rsidRPr="007812A6">
              <w:rPr>
                <w:color w:val="000000" w:themeColor="text1"/>
              </w:rPr>
              <w:lastRenderedPageBreak/>
              <w:t>Formulazione di un curriculo verticale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2F176E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lastRenderedPageBreak/>
              <w:t>MINI STAGE PER LA SCELTA DELL’ARTICOLAZIONE/INDIRIZZO (ORIENTAMENTO IN ITINERE)</w:t>
            </w:r>
          </w:p>
          <w:p w:rsidR="003C2836" w:rsidRPr="00D27272" w:rsidRDefault="003C2836" w:rsidP="002F176E">
            <w:pPr>
              <w:spacing w:after="200" w:line="276" w:lineRule="auto"/>
              <w:rPr>
                <w:b/>
              </w:rPr>
            </w:pPr>
          </w:p>
        </w:tc>
        <w:tc>
          <w:tcPr>
            <w:tcW w:w="5463" w:type="dxa"/>
          </w:tcPr>
          <w:p w:rsidR="003C2836" w:rsidRPr="007812A6" w:rsidRDefault="003C2836" w:rsidP="007812A6">
            <w:pPr>
              <w:spacing w:line="276" w:lineRule="auto"/>
            </w:pPr>
            <w:r w:rsidRPr="007812A6">
              <w:t>Aiutare i ragazzi a definire i propri punti di forza e di debolezza;</w:t>
            </w:r>
          </w:p>
          <w:p w:rsidR="003C2836" w:rsidRPr="007812A6" w:rsidRDefault="003C2836" w:rsidP="007812A6">
            <w:pPr>
              <w:spacing w:line="276" w:lineRule="auto"/>
            </w:pPr>
            <w:r w:rsidRPr="007812A6">
              <w:t>Guidare gli alunni/e a scelte motivate e consapevoli per la costruzione del personale progetto di vita;</w:t>
            </w:r>
          </w:p>
          <w:p w:rsidR="003C2836" w:rsidRPr="007812A6" w:rsidRDefault="003C2836" w:rsidP="007812A6">
            <w:pPr>
              <w:spacing w:line="276" w:lineRule="auto"/>
            </w:pPr>
            <w:r w:rsidRPr="007812A6">
              <w:t>Far emergere attitudini, inclinazioni e motivazioni;</w:t>
            </w:r>
          </w:p>
          <w:p w:rsidR="003C2836" w:rsidRPr="007812A6" w:rsidRDefault="003C2836" w:rsidP="007812A6">
            <w:pPr>
              <w:spacing w:line="276" w:lineRule="auto"/>
            </w:pPr>
            <w:r w:rsidRPr="007812A6">
              <w:t>Fornire gli strumenti per raccogliere informazioni sulle diverse opportunità formative delle articolazioni degli indirizzi di studi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PROGETTO ACCOGLIENZA</w:t>
            </w:r>
          </w:p>
        </w:tc>
        <w:tc>
          <w:tcPr>
            <w:tcW w:w="5463" w:type="dxa"/>
          </w:tcPr>
          <w:p w:rsidR="003C2836" w:rsidRPr="007812A6" w:rsidRDefault="003C2836" w:rsidP="007812A6">
            <w:pPr>
              <w:spacing w:line="276" w:lineRule="auto"/>
            </w:pPr>
            <w:r w:rsidRPr="007812A6">
              <w:t>Favorire l’inserimento degli allievi delle classi prime nella scuola.</w:t>
            </w:r>
          </w:p>
          <w:p w:rsidR="003C2836" w:rsidRPr="007812A6" w:rsidRDefault="003C2836" w:rsidP="007812A6">
            <w:pPr>
              <w:spacing w:line="276" w:lineRule="auto"/>
            </w:pPr>
            <w:r w:rsidRPr="007812A6">
              <w:t>Ridurre il disorientamento determinato dal completamento di un ciclo di studi e il passaggio ad uno nuovo.</w:t>
            </w:r>
          </w:p>
          <w:p w:rsidR="003C2836" w:rsidRPr="007812A6" w:rsidRDefault="003C2836" w:rsidP="007812A6">
            <w:pPr>
              <w:spacing w:line="276" w:lineRule="auto"/>
            </w:pPr>
            <w:r w:rsidRPr="007812A6">
              <w:t xml:space="preserve">Favorire attività di </w:t>
            </w:r>
            <w:proofErr w:type="spellStart"/>
            <w:r w:rsidRPr="007812A6">
              <w:t>peereducation</w:t>
            </w:r>
            <w:proofErr w:type="spellEnd"/>
            <w:r w:rsidRPr="007812A6">
              <w:t xml:space="preserve"> attraverso azioni di tutoraggio degli allievi delle classe quinte.</w:t>
            </w:r>
          </w:p>
          <w:p w:rsidR="003C2836" w:rsidRPr="007812A6" w:rsidRDefault="003C2836" w:rsidP="007812A6">
            <w:pPr>
              <w:spacing w:line="276" w:lineRule="auto"/>
            </w:pPr>
            <w:r w:rsidRPr="007812A6">
              <w:t>Permettere allievi e genitori di conoscere il Dirigente Scolastico, la scuola i suoi operatori, la sua organizzazione attraverso l’apertura al territorio sin dai primi giorni anche per favorire la disseminazione dell’offerta formativa, dei regolamenti tra tutta la comunità.</w:t>
            </w:r>
          </w:p>
          <w:p w:rsidR="003C2836" w:rsidRPr="007812A6" w:rsidRDefault="003C2836" w:rsidP="007812A6">
            <w:pPr>
              <w:spacing w:line="276" w:lineRule="auto"/>
            </w:pPr>
            <w:r w:rsidRPr="007812A6">
              <w:t>Favorire la condivisione del patto d corresponsabilità.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 xml:space="preserve">PNSD </w:t>
            </w:r>
          </w:p>
        </w:tc>
        <w:tc>
          <w:tcPr>
            <w:tcW w:w="5463" w:type="dxa"/>
          </w:tcPr>
          <w:p w:rsidR="003C2836" w:rsidRPr="007812A6" w:rsidRDefault="003C2836" w:rsidP="007812A6">
            <w:r w:rsidRPr="007812A6">
              <w:t xml:space="preserve">Favorire la partecipazione e stimolare il protagonismo degli </w:t>
            </w:r>
            <w:r w:rsidRPr="007812A6">
              <w:rPr>
                <w:b/>
              </w:rPr>
              <w:t>student</w:t>
            </w:r>
            <w:r w:rsidRPr="007812A6">
              <w:t>i nell’organizzazione di workshop ed altre attività, anche strutturate, sui temi del PSDN, attraverso momenti formativi aperti alle f</w:t>
            </w:r>
            <w:r w:rsidRPr="007812A6">
              <w:rPr>
                <w:b/>
              </w:rPr>
              <w:t xml:space="preserve">amiglie </w:t>
            </w:r>
            <w:r w:rsidRPr="007812A6">
              <w:t>e alla comunità territoriale, per la realizzazione di una cultura digitale condivisa.</w:t>
            </w:r>
          </w:p>
          <w:p w:rsidR="007812A6" w:rsidRPr="007812A6" w:rsidRDefault="007812A6" w:rsidP="007812A6">
            <w:pPr>
              <w:rPr>
                <w:b/>
              </w:rPr>
            </w:pPr>
            <w:r w:rsidRPr="007812A6">
              <w:t xml:space="preserve">Alfabetizzare i </w:t>
            </w:r>
            <w:r w:rsidRPr="007812A6">
              <w:rPr>
                <w:b/>
              </w:rPr>
              <w:t>docenti</w:t>
            </w:r>
            <w:r w:rsidRPr="007812A6">
              <w:t xml:space="preserve"> all’utilizzo del Registro elettronico e dei servizi Google (Drive, </w:t>
            </w:r>
            <w:proofErr w:type="spellStart"/>
            <w:r w:rsidRPr="007812A6">
              <w:t>Classroom</w:t>
            </w:r>
            <w:proofErr w:type="spellEnd"/>
            <w:r w:rsidRPr="007812A6">
              <w:t>, e Moduli Google) e dell’</w:t>
            </w:r>
            <w:proofErr w:type="spellStart"/>
            <w:r w:rsidRPr="007812A6">
              <w:t>app</w:t>
            </w:r>
            <w:proofErr w:type="spellEnd"/>
            <w:r w:rsidRPr="007812A6">
              <w:t xml:space="preserve"> “School Quiz</w:t>
            </w:r>
            <w:r w:rsidRPr="007812A6">
              <w:rPr>
                <w:b/>
              </w:rPr>
              <w:t xml:space="preserve">” </w:t>
            </w:r>
          </w:p>
          <w:p w:rsidR="003C2836" w:rsidRPr="007812A6" w:rsidRDefault="003C2836" w:rsidP="007812A6"/>
        </w:tc>
      </w:tr>
      <w:tr w:rsidR="003C2836" w:rsidRPr="00D27272" w:rsidTr="006A2D71">
        <w:tc>
          <w:tcPr>
            <w:tcW w:w="4391" w:type="dxa"/>
          </w:tcPr>
          <w:p w:rsidR="003C2836" w:rsidRDefault="003C2836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>LABORATORIO DI EDUCAZIONE STRADALE “MEDICITTA’”</w:t>
            </w:r>
          </w:p>
          <w:p w:rsidR="006A2D71" w:rsidRPr="006A2D71" w:rsidRDefault="006A2D71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PCTO</w:t>
            </w:r>
          </w:p>
          <w:p w:rsidR="003C2836" w:rsidRPr="006A2D71" w:rsidRDefault="003C2836" w:rsidP="001B2C19">
            <w:pPr>
              <w:spacing w:after="200" w:line="276" w:lineRule="auto"/>
              <w:rPr>
                <w:b/>
                <w:color w:val="000000" w:themeColor="text1"/>
              </w:rPr>
            </w:pPr>
          </w:p>
          <w:p w:rsidR="003C2836" w:rsidRPr="006A2D71" w:rsidRDefault="003C2836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>Sostegno</w:t>
            </w:r>
            <w:r w:rsidR="006A2D71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463" w:type="dxa"/>
          </w:tcPr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Obiettivi generali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Una efficace educazione sui comportamenti da tenere sulla strada, può istaurare nei nostri alunni una “cultura formativa e civile” che diventi parte integrante del loro modo di vivere, che li porti a considerare il rispetto delle regole, come atteggiamento normale e non un’odiosa costrizione.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Attraverso l’Educazione Stradale educhiamo i nostri alunni: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alla tolleranza verso gli altri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alla solidarietà con i più deboli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a non farsi attrarre dal mito della velocità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lastRenderedPageBreak/>
              <w:t xml:space="preserve"> ad essere consapevoli delle proprie condizioni psicofisiche• a saper osservare e rispettare l’ambiente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a sviluppare la capacità di prevedere i comportamenti degli altri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Obiettivi specifici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conoscere semplici concetti topologici, conoscere il ruolo del vigile e semplici comportamenti da seguire sulla strada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riconoscere semplici segnali stradali, le tipologie di strade, i comportamenti adeguati ed inadeguati sulla strada, ascoltare  e comprendere racconti inerenti all’Educazione stradale;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conoscere i principali mezzi di trasporto, distinguere i in comportamenti corretti e quelli scorretti, conoscere il significato delle differenti segnaletiche;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saper ricostruire un percorso stradale, rispettare le azioni che indica il vigile, ascoltare e comprendere racconti sulla strada e sui segnali stradali</w:t>
            </w:r>
          </w:p>
          <w:p w:rsidR="003C2836" w:rsidRPr="006A2D71" w:rsidRDefault="003C2836" w:rsidP="00221994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Saper applicare sulla strada le norme.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6A2D71" w:rsidRDefault="003C2836" w:rsidP="00221994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lastRenderedPageBreak/>
              <w:t>LABORATORIO ESPRESSIVO-CREATIVO-SENSORIALE</w:t>
            </w:r>
          </w:p>
          <w:p w:rsidR="003C2836" w:rsidRPr="006A2D71" w:rsidRDefault="003C2836" w:rsidP="00221994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>“MEDISOSTEGNO”</w:t>
            </w:r>
          </w:p>
        </w:tc>
        <w:tc>
          <w:tcPr>
            <w:tcW w:w="5463" w:type="dxa"/>
          </w:tcPr>
          <w:p w:rsidR="003C2836" w:rsidRPr="006A2D71" w:rsidRDefault="003C2836" w:rsidP="00221994">
            <w:pPr>
              <w:rPr>
                <w:rFonts w:eastAsia="SimSun"/>
                <w:color w:val="000000" w:themeColor="text1"/>
              </w:rPr>
            </w:pPr>
            <w:r w:rsidRPr="006A2D71">
              <w:rPr>
                <w:rFonts w:eastAsia="SimSun"/>
                <w:color w:val="000000" w:themeColor="text1"/>
              </w:rPr>
              <w:t>Obiettivi generali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Integrazione degli alunni con disabilità e sviluppo delle loro capacità creative;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Inserimento, inclusione e integrazione alunni diversamente abili;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Offrire agli studenti occasioni per socializzare;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Abituare gli studenti ad un progetto di gruppo nel rispetto di regole e tempi;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Rendere gli studenti responsabili nel sapersi assumere incarichi e compiti;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Rendere gli studenti protagonisti nella crescita della propria personalità e consapevoli delle proprie potenzialità creative;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Migliorare l’ordine, la precisazione, i tempi di attenzione e di concentrazione.</w:t>
            </w:r>
          </w:p>
          <w:p w:rsidR="003C2836" w:rsidRPr="006A2D71" w:rsidRDefault="003C2836" w:rsidP="00221994">
            <w:pPr>
              <w:rPr>
                <w:rFonts w:eastAsia="SimSun"/>
                <w:color w:val="000000" w:themeColor="text1"/>
              </w:rPr>
            </w:pPr>
            <w:r w:rsidRPr="006A2D71">
              <w:rPr>
                <w:rFonts w:eastAsia="SimSun"/>
                <w:color w:val="000000" w:themeColor="text1"/>
              </w:rPr>
              <w:t>Obiettivi specifici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Attraverso la realizzazione guidata di vari oggetti, non solo migliora la motricità fine, ma aumenta anche il livello di autostima (in genere carente);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sviluppare la "creatività" che è importante anche per innescare processi mentali di tipo logico-astrattivi che in tali alunni sono seriamente compromessi;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Migliorare le capacità relazionali attraverso un processo importantissimo di socializzazione e del rispetto delle regole.</w:t>
            </w:r>
          </w:p>
          <w:p w:rsidR="003C2836" w:rsidRPr="006A2D71" w:rsidRDefault="003C2836" w:rsidP="007812A6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 sviluppare le capacità senso-percettive e migliorare l’attenzione e la memorizzazione.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6A2D71" w:rsidRDefault="003C2836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>LABORATORIO DI AUTONOMIA DOMESTICA “MEDISPESA”</w:t>
            </w:r>
          </w:p>
        </w:tc>
        <w:tc>
          <w:tcPr>
            <w:tcW w:w="5463" w:type="dxa"/>
          </w:tcPr>
          <w:p w:rsidR="003C2836" w:rsidRPr="006A2D71" w:rsidRDefault="003C2836" w:rsidP="001101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A2D71">
              <w:rPr>
                <w:rFonts w:eastAsia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  <w:t>Obiettivi generali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Integrazione degli alunni con disabilità e sviluppo delle loro capacità creative;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Inserimento, inclusione e integrazione alunni diversamente abili;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Offrire agli studenti occasioni per socializzare;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Abituare gli studenti ad un progetto di gruppo nel rispetto di regole e tempi;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Rendere gli studenti responsabili nel sapersi assumere incarichi e compiti;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Rendere gli studenti protagonisti nella crescita della propria personalità e consapevoli delle proprie potenzialità creative;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Migliorare l’ordine, la precisazione, i tempi di attenzione e di concentrazione.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eastAsiaTheme="minorHAnsi"/>
                <w:color w:val="000000" w:themeColor="text1"/>
                <w:lang w:eastAsia="en-US"/>
              </w:rPr>
            </w:pPr>
            <w:r w:rsidRPr="006A2D71">
              <w:rPr>
                <w:rFonts w:eastAsiaTheme="minorHAnsi"/>
                <w:color w:val="000000" w:themeColor="text1"/>
                <w:lang w:eastAsia="en-US"/>
              </w:rPr>
              <w:t>Obiettivi specifici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Uso corretto degli strumenti specifici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Coordinazione </w:t>
            </w:r>
            <w:proofErr w:type="spellStart"/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oculomanuale</w:t>
            </w:r>
            <w:proofErr w:type="spellEnd"/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Capacità di manipolazione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Autonomia personale e sociale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Miglioramento della motricità fine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Conoscere il cibo attraverso esperienze sensoriali: il laboratorio dei sensi 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Conoscere le proprietà nutrizionali degli alimenti;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Avere un rapporto più consapevole sul valore del cibo, anche in famiglia;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Conoscere popoli e culture diverse attraverso piatti tipici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Educare a riciclare a scuola e a casa</w:t>
            </w:r>
          </w:p>
          <w:p w:rsidR="003C2836" w:rsidRPr="006A2D71" w:rsidRDefault="003C2836" w:rsidP="00D27272">
            <w:pPr>
              <w:pStyle w:val="Paragrafoelenco"/>
              <w:autoSpaceDE w:val="0"/>
              <w:autoSpaceDN w:val="0"/>
              <w:adjustRightInd w:val="0"/>
              <w:ind w:left="260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A2D7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uso del denaro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lastRenderedPageBreak/>
              <w:t xml:space="preserve">Prevenzione e contrasto  del Bullismo e del </w:t>
            </w:r>
            <w:proofErr w:type="spellStart"/>
            <w:r w:rsidRPr="00D27272">
              <w:rPr>
                <w:b/>
                <w:color w:val="000000" w:themeColor="text1"/>
              </w:rPr>
              <w:t>Cyberbullismo</w:t>
            </w:r>
            <w:proofErr w:type="spellEnd"/>
          </w:p>
        </w:tc>
        <w:tc>
          <w:tcPr>
            <w:tcW w:w="5463" w:type="dxa"/>
          </w:tcPr>
          <w:p w:rsidR="003C2836" w:rsidRPr="00D27272" w:rsidRDefault="003C2836" w:rsidP="003D714E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Attività rivolta a</w:t>
            </w:r>
            <w:r w:rsidR="003D714E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tutti gli alunni delle classi </w:t>
            </w:r>
            <w:proofErr w:type="spellStart"/>
            <w:r w:rsidR="003D714E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Pr</w:t>
            </w: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rime</w:t>
            </w:r>
            <w:proofErr w:type="spellEnd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finalizzato alla formazione/informazione sul fenomeno del bullismo e </w:t>
            </w:r>
            <w:proofErr w:type="spellStart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cyberbullismo</w:t>
            </w:r>
            <w:proofErr w:type="spellEnd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,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6A2D71" w:rsidRDefault="003C2836" w:rsidP="003C2836">
            <w:pPr>
              <w:spacing w:after="200" w:line="276" w:lineRule="auto"/>
              <w:rPr>
                <w:b/>
                <w:color w:val="000000" w:themeColor="text1"/>
                <w:lang w:val="de-DE"/>
              </w:rPr>
            </w:pPr>
            <w:r w:rsidRPr="006A2D71">
              <w:rPr>
                <w:b/>
                <w:color w:val="000000" w:themeColor="text1"/>
              </w:rPr>
              <w:t xml:space="preserve"> </w:t>
            </w:r>
            <w:r w:rsidRPr="006A2D71">
              <w:rPr>
                <w:b/>
                <w:color w:val="000000" w:themeColor="text1"/>
                <w:lang w:val="de-DE"/>
              </w:rPr>
              <w:t>JAVA OBJECT ORIENTED ANALYSIS AND DESIGN</w:t>
            </w:r>
          </w:p>
          <w:p w:rsidR="00192E4C" w:rsidRPr="006A2D71" w:rsidRDefault="00192E4C" w:rsidP="003C2836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>Potenziamento e valorizzazione delle eccellenze</w:t>
            </w:r>
          </w:p>
        </w:tc>
        <w:tc>
          <w:tcPr>
            <w:tcW w:w="5463" w:type="dxa"/>
          </w:tcPr>
          <w:p w:rsidR="003C2836" w:rsidRPr="006A2D71" w:rsidRDefault="00192E4C" w:rsidP="00192E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Fornire competenze su concetti avanzati per la programmazione a oggetti, con particolare attenzione a una delle tecnologie maggiormente affermate negli ultimi anni, il linguaggio JAVA. </w:t>
            </w:r>
            <w:r w:rsidR="003C2836" w:rsidRPr="006A2D71">
              <w:rPr>
                <w:color w:val="000000" w:themeColor="text1"/>
              </w:rPr>
              <w:t xml:space="preserve"> </w:t>
            </w:r>
            <w:r w:rsidRPr="006A2D71">
              <w:rPr>
                <w:color w:val="000000" w:themeColor="text1"/>
              </w:rPr>
              <w:t>Il progetto si aggancia ai programmi svolti durante gli anni del triennio di specializzazione in Informatica, approfondendone gli argomenti e aiutando a raggiungere un ottimo livello di preparazione nella programmazione a oggetti in Java</w:t>
            </w:r>
          </w:p>
          <w:p w:rsidR="00192E4C" w:rsidRPr="006A2D71" w:rsidRDefault="00192E4C" w:rsidP="00192E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 xml:space="preserve">Tale progetto è propedeutico a Applicazioni web </w:t>
            </w:r>
            <w:proofErr w:type="spellStart"/>
            <w:r w:rsidRPr="006A2D71">
              <w:rPr>
                <w:color w:val="000000" w:themeColor="text1"/>
              </w:rPr>
              <w:t>based</w:t>
            </w:r>
            <w:proofErr w:type="spellEnd"/>
          </w:p>
        </w:tc>
      </w:tr>
      <w:tr w:rsidR="003C2836" w:rsidRPr="00D27272" w:rsidTr="006A2D71">
        <w:tc>
          <w:tcPr>
            <w:tcW w:w="4391" w:type="dxa"/>
          </w:tcPr>
          <w:p w:rsidR="003C2836" w:rsidRPr="006A2D71" w:rsidRDefault="003C2836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 xml:space="preserve"> </w:t>
            </w:r>
            <w:r w:rsidR="00192E4C" w:rsidRPr="006A2D71">
              <w:rPr>
                <w:b/>
                <w:color w:val="000000" w:themeColor="text1"/>
              </w:rPr>
              <w:t>APPLICAZIONI WEB-BASED CON RIFERIMENTI AD APP PER DISPOSITIVI MOBILI E INTERNET DELLE COSE</w:t>
            </w:r>
          </w:p>
          <w:p w:rsidR="00192E4C" w:rsidRPr="006A2D71" w:rsidRDefault="00192E4C" w:rsidP="00192E4C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 xml:space="preserve">Potenziamento e valorizzazione delle </w:t>
            </w:r>
            <w:r w:rsidRPr="006A2D71">
              <w:rPr>
                <w:b/>
                <w:color w:val="000000" w:themeColor="text1"/>
              </w:rPr>
              <w:lastRenderedPageBreak/>
              <w:t>eccellenze</w:t>
            </w:r>
          </w:p>
        </w:tc>
        <w:tc>
          <w:tcPr>
            <w:tcW w:w="5463" w:type="dxa"/>
          </w:tcPr>
          <w:p w:rsidR="003C2836" w:rsidRPr="006A2D71" w:rsidRDefault="00192E4C" w:rsidP="00192E4C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lastRenderedPageBreak/>
              <w:t>Il progetto si propone di fornire le conoscenze e le competenze necessarie per la realizzazione di applicazioni web-</w:t>
            </w:r>
            <w:proofErr w:type="spellStart"/>
            <w:r w:rsidRPr="006A2D71">
              <w:rPr>
                <w:color w:val="000000" w:themeColor="text1"/>
              </w:rPr>
              <w:t>based</w:t>
            </w:r>
            <w:proofErr w:type="spellEnd"/>
            <w:r w:rsidRPr="006A2D71">
              <w:rPr>
                <w:color w:val="000000" w:themeColor="text1"/>
              </w:rPr>
              <w:t>, inquadrandole nell'ambito più vasto delle applicazioni distribuite, con riferimenti anche al loro utilizzo attraverso dispositivi mobili e all’internet delle cose</w:t>
            </w:r>
          </w:p>
        </w:tc>
      </w:tr>
      <w:tr w:rsidR="00E25365" w:rsidRPr="00D27272" w:rsidTr="006A2D71">
        <w:tc>
          <w:tcPr>
            <w:tcW w:w="4391" w:type="dxa"/>
          </w:tcPr>
          <w:p w:rsidR="00E25365" w:rsidRPr="006A2D71" w:rsidRDefault="00E25365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lastRenderedPageBreak/>
              <w:t>IL RISCHIO ELETTRICO</w:t>
            </w:r>
          </w:p>
        </w:tc>
        <w:tc>
          <w:tcPr>
            <w:tcW w:w="5463" w:type="dxa"/>
          </w:tcPr>
          <w:p w:rsidR="00E25365" w:rsidRPr="006A2D71" w:rsidRDefault="00E25365" w:rsidP="00E25365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Per gli alunni  quarta e quinta di Elettrotecnica articolazione “</w:t>
            </w:r>
            <w:proofErr w:type="spellStart"/>
            <w:r w:rsidRPr="006A2D71">
              <w:rPr>
                <w:color w:val="000000" w:themeColor="text1"/>
              </w:rPr>
              <w:t>Automazione”si</w:t>
            </w:r>
            <w:proofErr w:type="spellEnd"/>
            <w:r w:rsidRPr="006A2D71">
              <w:rPr>
                <w:color w:val="000000" w:themeColor="text1"/>
              </w:rPr>
              <w:t xml:space="preserve"> analizzeranno le norme per </w:t>
            </w:r>
            <w:proofErr w:type="spellStart"/>
            <w:r w:rsidRPr="006A2D71">
              <w:rPr>
                <w:color w:val="000000" w:themeColor="text1"/>
              </w:rPr>
              <w:t>larealizzazione</w:t>
            </w:r>
            <w:proofErr w:type="spellEnd"/>
            <w:r w:rsidRPr="006A2D71">
              <w:rPr>
                <w:color w:val="000000" w:themeColor="text1"/>
              </w:rPr>
              <w:t xml:space="preserve"> a regola d’arte degli impianti per civile abitazione, individuando le cause che darebbero vita ad un rischio di natura elettrica nell’utilizzo degli impianti stessi. Nello stesso tempo</w:t>
            </w:r>
          </w:p>
          <w:p w:rsidR="00E25365" w:rsidRPr="006A2D71" w:rsidRDefault="00E25365" w:rsidP="00E25365">
            <w:pPr>
              <w:rPr>
                <w:color w:val="000000" w:themeColor="text1"/>
              </w:rPr>
            </w:pPr>
            <w:r w:rsidRPr="006A2D71">
              <w:rPr>
                <w:color w:val="000000" w:themeColor="text1"/>
              </w:rPr>
              <w:t>provare, attraverso i ragazzi e le loro famiglie, a dare vita ad una campagna di sensibilizzazione verso simili problematiche.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6A2D71" w:rsidRDefault="003C2836" w:rsidP="00B54AA3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 xml:space="preserve">PROGETTO “DISLESSIA AMICA-LIVELLO-AVANZATO </w:t>
            </w:r>
          </w:p>
        </w:tc>
        <w:tc>
          <w:tcPr>
            <w:tcW w:w="5463" w:type="dxa"/>
          </w:tcPr>
          <w:p w:rsidR="003C2836" w:rsidRPr="006A2D71" w:rsidRDefault="003C2836" w:rsidP="003121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A2D7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Corso on-line gratuito, rivolto ai docenti, sulle tematiche riguardanti gli alunni con disturbi specifici dell’apprendimento.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D714E" w:rsidP="001B2C19">
            <w:pPr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Didattica domiciliare a distanza</w:t>
            </w:r>
          </w:p>
          <w:p w:rsidR="003C2836" w:rsidRPr="00D27272" w:rsidRDefault="003C2836" w:rsidP="003D714E">
            <w:pPr>
              <w:spacing w:after="200" w:line="276" w:lineRule="auto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 xml:space="preserve">Modalità DAD </w:t>
            </w:r>
          </w:p>
        </w:tc>
        <w:tc>
          <w:tcPr>
            <w:tcW w:w="5463" w:type="dxa"/>
          </w:tcPr>
          <w:p w:rsidR="003C2836" w:rsidRPr="00D27272" w:rsidRDefault="003C2836" w:rsidP="003121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Insegnamento personalizzato, su richiesta della famiglia, declinato nei singoli  Consigli di classe, ad integrazione e supporto alle azioni che la scuola ha già messo in campo. Sono incluse nelle attività proposte anche le </w:t>
            </w:r>
            <w:proofErr w:type="spellStart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rimoludazioni</w:t>
            </w:r>
            <w:proofErr w:type="spellEnd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orarie che ciascun </w:t>
            </w:r>
            <w:proofErr w:type="spellStart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CdC</w:t>
            </w:r>
            <w:proofErr w:type="spellEnd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vuole attivare per rimuovere gli ostacoli con particolare riferimento agli alunni </w:t>
            </w:r>
            <w:r w:rsidR="003D714E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con fragilità</w:t>
            </w:r>
          </w:p>
          <w:p w:rsidR="003C2836" w:rsidRPr="00D27272" w:rsidRDefault="003C2836" w:rsidP="003121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Chi ha diritto a  partecipare al progetto potrà usufruire delle seguenti modalità di insegnamento:</w:t>
            </w: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:rsidR="003C2836" w:rsidRPr="00D27272" w:rsidRDefault="003C2836" w:rsidP="003121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ab/>
              <w:t>didattica mista (l’alunno si collega da casa mentre la classe e i docenti sono a scuola);</w:t>
            </w:r>
          </w:p>
          <w:p w:rsidR="003C2836" w:rsidRPr="00D27272" w:rsidRDefault="003C2836" w:rsidP="003121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ab/>
              <w:t xml:space="preserve">Lezioni in modalità asincrona (l’alunno è impossibilitato a frequentare la scuola in orario antimeridiano, sia in presenza che a distanza, e usufruisce delle attività, lezioni e materiali che il docente predispone per la classe nell’aula virtuale di </w:t>
            </w:r>
            <w:proofErr w:type="spellStart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Classroom</w:t>
            </w:r>
            <w:proofErr w:type="spellEnd"/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);</w:t>
            </w:r>
          </w:p>
          <w:p w:rsidR="003C2836" w:rsidRPr="00D27272" w:rsidRDefault="003C2836" w:rsidP="003121C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D27272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ab/>
              <w:t>Tutor di supporto pomeridiano (Sportello didattico su richiesta della famiglia).</w:t>
            </w:r>
          </w:p>
          <w:p w:rsidR="003C2836" w:rsidRPr="00D27272" w:rsidRDefault="003C2836" w:rsidP="0059497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lang w:eastAsia="en-US"/>
              </w:rPr>
            </w:pPr>
          </w:p>
        </w:tc>
      </w:tr>
      <w:tr w:rsidR="003C2836" w:rsidRPr="00D27272" w:rsidTr="006A2D71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36" w:rsidRPr="006A2D71" w:rsidRDefault="003C2836" w:rsidP="00192E4C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 xml:space="preserve">SOS LITERACY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67" w:rsidRPr="006A2D71" w:rsidRDefault="00192E4C" w:rsidP="00926E6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A2D7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Il </w:t>
            </w:r>
            <w:proofErr w:type="spellStart"/>
            <w:r w:rsidR="00926E67" w:rsidRPr="006A2D7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Il</w:t>
            </w:r>
            <w:proofErr w:type="spellEnd"/>
            <w:r w:rsidR="00926E67" w:rsidRPr="006A2D7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progetto è finalizzato a sostenere il livello di istruzione dei ragazzi maggiormente in difficoltà ed a favorirne il successo scolastico attraverso l’attivazione di specifici percorsi complementari alle attività didattiche. Obiettivo è quello di migliorare il successo scolastico dei discenti con lo sviluppo delle competenze di base e trasversali nell’area della lettura e della comprensione dei testi.</w:t>
            </w:r>
          </w:p>
          <w:p w:rsidR="003C2836" w:rsidRPr="006A2D71" w:rsidRDefault="00926E67" w:rsidP="00926E6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A2D7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Le attività si rivolgono in modo particolare agli studenti che frequentano il secondo anno delle scuole superiori.</w:t>
            </w:r>
          </w:p>
        </w:tc>
      </w:tr>
      <w:tr w:rsidR="00926E67" w:rsidRPr="00D27272" w:rsidTr="006A2D71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67" w:rsidRPr="006A2D71" w:rsidRDefault="00926E67" w:rsidP="00192E4C">
            <w:pPr>
              <w:spacing w:after="200" w:line="276" w:lineRule="auto"/>
              <w:rPr>
                <w:b/>
                <w:color w:val="000000" w:themeColor="text1"/>
              </w:rPr>
            </w:pPr>
            <w:r w:rsidRPr="006A2D71">
              <w:rPr>
                <w:b/>
                <w:color w:val="000000" w:themeColor="text1"/>
              </w:rPr>
              <w:t>SOS NUMERACY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67" w:rsidRPr="006A2D71" w:rsidRDefault="00926E67" w:rsidP="00926E6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A2D7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Il progetto è finalizzato a sostenere il livello di istruzione dei ragazzi maggiormente in difficoltà ed a favorirne il successo scolastico attraverso l’attivazione di specifici percorsi complementari alle attività didattiche. Obiettivo è quello di potenziare gli apprendimenti e migliorare i risultati delle prove standardizzate in matematica</w:t>
            </w:r>
          </w:p>
          <w:p w:rsidR="00926E67" w:rsidRPr="006A2D71" w:rsidRDefault="00926E67" w:rsidP="00926E6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A2D7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Le attività si rivolgono in modo particolare agli studenti che frequentano il secondo anno</w:t>
            </w:r>
          </w:p>
        </w:tc>
      </w:tr>
      <w:tr w:rsidR="003D714E" w:rsidRPr="00D27272" w:rsidTr="006A2D71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E" w:rsidRPr="00EB7631" w:rsidRDefault="00EB7631" w:rsidP="00192E4C">
            <w:pPr>
              <w:spacing w:after="200" w:line="276" w:lineRule="auto"/>
              <w:rPr>
                <w:b/>
                <w:color w:val="000000" w:themeColor="text1"/>
              </w:rPr>
            </w:pPr>
            <w:r w:rsidRPr="00EB7631">
              <w:rPr>
                <w:b/>
                <w:color w:val="000000" w:themeColor="text1"/>
              </w:rPr>
              <w:t xml:space="preserve">ERASMUS </w:t>
            </w:r>
          </w:p>
          <w:p w:rsidR="00EB7631" w:rsidRPr="003D714E" w:rsidRDefault="00EB7631" w:rsidP="00192E4C">
            <w:pPr>
              <w:spacing w:after="200" w:line="276" w:lineRule="auto"/>
              <w:rPr>
                <w:b/>
                <w:color w:val="FF0000"/>
              </w:rPr>
            </w:pPr>
            <w:r w:rsidRPr="00EB7631">
              <w:rPr>
                <w:b/>
                <w:color w:val="000000" w:themeColor="text1"/>
              </w:rPr>
              <w:lastRenderedPageBreak/>
              <w:t>CLASSI QUARTE</w:t>
            </w:r>
            <w:r w:rsidR="006A2D71">
              <w:rPr>
                <w:b/>
                <w:color w:val="000000" w:themeColor="text1"/>
              </w:rPr>
              <w:t xml:space="preserve"> E QUINTE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E" w:rsidRPr="003D714E" w:rsidRDefault="00EB7631" w:rsidP="00926E6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Il programma Erasmus  mira</w:t>
            </w:r>
            <w:r w:rsidR="003D714E" w:rsidRPr="00EB763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a migliorare la qualità e l’efficacia dell’istruzione, al fine di permettere a tutti i cittadini europei di acquisire le competenze fondamentali </w:t>
            </w:r>
            <w:r w:rsidR="003D714E" w:rsidRPr="00EB763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lastRenderedPageBreak/>
              <w:t>definite dal quadro strategico Istruzione e Formazione 2020.</w:t>
            </w:r>
          </w:p>
        </w:tc>
      </w:tr>
      <w:tr w:rsidR="003D714E" w:rsidRPr="00D27272" w:rsidTr="006A2D71"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E" w:rsidRPr="003D714E" w:rsidRDefault="00EB7631" w:rsidP="00192E4C">
            <w:pPr>
              <w:spacing w:after="200" w:line="276" w:lineRule="auto"/>
              <w:rPr>
                <w:b/>
                <w:color w:val="FF0000"/>
              </w:rPr>
            </w:pPr>
            <w:r w:rsidRPr="00EB7631">
              <w:rPr>
                <w:b/>
                <w:color w:val="000000" w:themeColor="text1"/>
              </w:rPr>
              <w:lastRenderedPageBreak/>
              <w:t>E TWINNING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4E" w:rsidRPr="003D714E" w:rsidRDefault="00EB7631" w:rsidP="00926E6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  <w:proofErr w:type="spellStart"/>
            <w:r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Twinning</w:t>
            </w:r>
            <w:r w:rsidRPr="00EB763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>offre</w:t>
            </w:r>
            <w:proofErr w:type="spellEnd"/>
            <w:r w:rsidRPr="00EB7631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/>
              </w:rPr>
              <w:t xml:space="preserve"> una piattaforma per lo staff delle scuole (insegnanti, dirigenti scolastici, bibliotecari, ecc...) dei paesi partecipanti per comunicare, collaborare, sviluppare progetti e condividere idee; in breve, partecipare alla più entusiasmante community europea di insegnanti.</w:t>
            </w:r>
          </w:p>
        </w:tc>
      </w:tr>
      <w:tr w:rsidR="003C2836" w:rsidRPr="00D27272" w:rsidTr="006A2D71">
        <w:tc>
          <w:tcPr>
            <w:tcW w:w="4391" w:type="dxa"/>
          </w:tcPr>
          <w:p w:rsidR="003C2836" w:rsidRPr="00D27272" w:rsidRDefault="003C2836" w:rsidP="00E56758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 xml:space="preserve">Compiti di realtà – classi seconde </w:t>
            </w:r>
          </w:p>
          <w:p w:rsidR="006A2D71" w:rsidRPr="00D27272" w:rsidRDefault="003C2836" w:rsidP="006A2D71">
            <w:pPr>
              <w:spacing w:after="200" w:line="276" w:lineRule="auto"/>
              <w:jc w:val="center"/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>“</w:t>
            </w:r>
          </w:p>
          <w:p w:rsidR="003C2836" w:rsidRPr="00D27272" w:rsidRDefault="003C2836" w:rsidP="00065814">
            <w:pPr>
              <w:spacing w:after="200" w:line="276" w:lineRule="auto"/>
              <w:rPr>
                <w:b/>
                <w:color w:val="000000" w:themeColor="text1"/>
              </w:rPr>
            </w:pPr>
          </w:p>
        </w:tc>
        <w:tc>
          <w:tcPr>
            <w:tcW w:w="5463" w:type="dxa"/>
          </w:tcPr>
          <w:p w:rsidR="003C2836" w:rsidRPr="00D27272" w:rsidRDefault="003C2836" w:rsidP="0011012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:rsidR="003C2836" w:rsidRPr="00D27272" w:rsidRDefault="003C2836" w:rsidP="00D27272">
            <w:pPr>
              <w:pStyle w:val="NormaleWeb"/>
              <w:spacing w:before="120" w:beforeAutospacing="0" w:after="120" w:afterAutospacing="0"/>
              <w:ind w:left="119"/>
              <w:rPr>
                <w:color w:val="000000" w:themeColor="text1"/>
                <w:sz w:val="22"/>
                <w:szCs w:val="22"/>
              </w:rPr>
            </w:pPr>
          </w:p>
        </w:tc>
      </w:tr>
      <w:tr w:rsidR="003C2836" w:rsidRPr="00D27272" w:rsidTr="006A2D71">
        <w:tc>
          <w:tcPr>
            <w:tcW w:w="4391" w:type="dxa"/>
          </w:tcPr>
          <w:p w:rsidR="003C2836" w:rsidRDefault="003C2836" w:rsidP="00E56758">
            <w:pPr>
              <w:spacing w:after="200" w:line="276" w:lineRule="auto"/>
              <w:jc w:val="center"/>
              <w:rPr>
                <w:b/>
              </w:rPr>
            </w:pPr>
            <w:r w:rsidRPr="00D27272">
              <w:rPr>
                <w:b/>
              </w:rPr>
              <w:t>Partecipazione a concorsi e Workshop</w:t>
            </w:r>
          </w:p>
          <w:p w:rsidR="006A2D71" w:rsidRPr="00D27272" w:rsidRDefault="006A2D71" w:rsidP="00E5675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PCTO</w:t>
            </w:r>
          </w:p>
        </w:tc>
        <w:tc>
          <w:tcPr>
            <w:tcW w:w="5463" w:type="dxa"/>
          </w:tcPr>
          <w:p w:rsidR="003C2836" w:rsidRPr="006F4BA4" w:rsidRDefault="003C2836" w:rsidP="006F4BA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6F4BA4">
              <w:rPr>
                <w:rFonts w:eastAsiaTheme="minorHAnsi"/>
                <w:iCs/>
                <w:lang w:eastAsia="en-US"/>
              </w:rPr>
              <w:t xml:space="preserve">Project management per una scuola che guarda…oltre: generiamo i </w:t>
            </w:r>
            <w:proofErr w:type="spellStart"/>
            <w:r w:rsidRPr="006F4BA4">
              <w:rPr>
                <w:rFonts w:eastAsiaTheme="minorHAnsi"/>
                <w:iCs/>
                <w:lang w:eastAsia="en-US"/>
              </w:rPr>
              <w:t>leaders</w:t>
            </w:r>
            <w:proofErr w:type="spellEnd"/>
            <w:r w:rsidRPr="006F4BA4">
              <w:rPr>
                <w:rFonts w:eastAsiaTheme="minorHAnsi"/>
                <w:iCs/>
                <w:lang w:eastAsia="en-US"/>
              </w:rPr>
              <w:t xml:space="preserve"> del futuro</w:t>
            </w:r>
          </w:p>
          <w:p w:rsidR="003C2836" w:rsidRPr="006F4BA4" w:rsidRDefault="003C2836" w:rsidP="006F4BA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6F4BA4">
              <w:rPr>
                <w:rFonts w:eastAsiaTheme="minorHAnsi"/>
                <w:iCs/>
                <w:lang w:eastAsia="en-US"/>
              </w:rPr>
              <w:t xml:space="preserve">Premio </w:t>
            </w:r>
            <w:proofErr w:type="spellStart"/>
            <w:r w:rsidRPr="006F4BA4">
              <w:rPr>
                <w:rFonts w:eastAsiaTheme="minorHAnsi"/>
                <w:iCs/>
                <w:lang w:eastAsia="en-US"/>
              </w:rPr>
              <w:t>letterasrio</w:t>
            </w:r>
            <w:proofErr w:type="spellEnd"/>
            <w:r w:rsidRPr="006F4BA4">
              <w:rPr>
                <w:rFonts w:eastAsiaTheme="minorHAnsi"/>
                <w:iCs/>
                <w:lang w:eastAsia="en-US"/>
              </w:rPr>
              <w:t xml:space="preserve"> Villa Bruno</w:t>
            </w:r>
          </w:p>
          <w:p w:rsidR="003C2836" w:rsidRPr="006F4BA4" w:rsidRDefault="003C2836" w:rsidP="006F4BA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6F4BA4">
              <w:rPr>
                <w:rFonts w:eastAsiaTheme="minorHAnsi"/>
                <w:iCs/>
                <w:lang w:eastAsia="en-US"/>
              </w:rPr>
              <w:t>Concorsi organizzati da Enti e Associazioni</w:t>
            </w:r>
          </w:p>
          <w:p w:rsidR="003C2836" w:rsidRPr="00D27272" w:rsidRDefault="003C2836" w:rsidP="006F4BA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6F4BA4">
              <w:rPr>
                <w:rFonts w:eastAsiaTheme="minorHAnsi"/>
                <w:iCs/>
                <w:lang w:eastAsia="en-US"/>
              </w:rPr>
              <w:t>Programma il futuro</w:t>
            </w:r>
          </w:p>
        </w:tc>
      </w:tr>
      <w:tr w:rsidR="003C2836" w:rsidRPr="00D27272" w:rsidTr="006A2D71">
        <w:trPr>
          <w:trHeight w:val="1449"/>
        </w:trPr>
        <w:tc>
          <w:tcPr>
            <w:tcW w:w="9854" w:type="dxa"/>
            <w:gridSpan w:val="2"/>
          </w:tcPr>
          <w:p w:rsidR="003C2836" w:rsidRPr="00D27272" w:rsidRDefault="003C2836" w:rsidP="001B2C19">
            <w:pPr>
              <w:jc w:val="center"/>
              <w:rPr>
                <w:b/>
                <w:color w:val="000000"/>
              </w:rPr>
            </w:pPr>
            <w:r w:rsidRPr="00D27272">
              <w:rPr>
                <w:b/>
                <w:color w:val="000000"/>
              </w:rPr>
              <w:t>Implementazione diretta alle  classi quinte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Facilitare l’orientamento in uscita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Consolidare competenze disciplinari specifiche  per il conseguimento di certificazioni</w:t>
            </w:r>
          </w:p>
          <w:p w:rsidR="003C2836" w:rsidRPr="00D27272" w:rsidRDefault="003C2836" w:rsidP="003E698A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Promuovere l’acquisizione di competenze utili per l’accesso all’università e per il mondo del lavoro</w:t>
            </w:r>
          </w:p>
          <w:p w:rsidR="003C2836" w:rsidRPr="00D27272" w:rsidRDefault="003C2836" w:rsidP="00857F7E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72">
              <w:rPr>
                <w:rFonts w:ascii="Times New Roman" w:hAnsi="Times New Roman" w:cs="Times New Roman"/>
                <w:color w:val="000000"/>
              </w:rPr>
              <w:t>Promuovere l’implementazione di competenze digitali, giuridiche e linguistiche</w:t>
            </w:r>
          </w:p>
          <w:p w:rsidR="00926E67" w:rsidRPr="00D27272" w:rsidRDefault="00926E67" w:rsidP="00926E67">
            <w:pPr>
              <w:rPr>
                <w:color w:val="000000"/>
              </w:rPr>
            </w:pPr>
          </w:p>
          <w:p w:rsidR="00926E67" w:rsidRPr="00D27272" w:rsidRDefault="00926E67" w:rsidP="00926E67">
            <w:pPr>
              <w:rPr>
                <w:color w:val="000000"/>
              </w:rPr>
            </w:pPr>
          </w:p>
        </w:tc>
      </w:tr>
    </w:tbl>
    <w:p w:rsidR="00C12373" w:rsidRPr="00D27272" w:rsidRDefault="00C12373" w:rsidP="00C123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12373" w:rsidRPr="00D27272" w:rsidTr="001B2C19">
        <w:tc>
          <w:tcPr>
            <w:tcW w:w="4889" w:type="dxa"/>
            <w:shd w:val="clear" w:color="auto" w:fill="auto"/>
          </w:tcPr>
          <w:p w:rsidR="00C12373" w:rsidRPr="00D27272" w:rsidRDefault="00C12373" w:rsidP="001B2C19">
            <w:pPr>
              <w:rPr>
                <w:b/>
              </w:rPr>
            </w:pPr>
            <w:r w:rsidRPr="00D27272">
              <w:rPr>
                <w:b/>
              </w:rPr>
              <w:t>PREPARAZIONE TEST UNIVERSITARI PER L’AMMISSIONE ALLE LAUREE SCIENTIFICHE</w:t>
            </w:r>
          </w:p>
        </w:tc>
        <w:tc>
          <w:tcPr>
            <w:tcW w:w="4889" w:type="dxa"/>
            <w:shd w:val="clear" w:color="auto" w:fill="auto"/>
          </w:tcPr>
          <w:p w:rsidR="00C12373" w:rsidRPr="00D27272" w:rsidRDefault="00C12373" w:rsidP="001B2C19">
            <w:r w:rsidRPr="00D27272">
              <w:t>Le aree in cui la scuola opera in questa fase sono :</w:t>
            </w:r>
          </w:p>
          <w:p w:rsidR="00C12373" w:rsidRPr="00D27272" w:rsidRDefault="00C12373" w:rsidP="001B2C19">
            <w:r w:rsidRPr="00D27272">
              <w:t>Chimica</w:t>
            </w:r>
          </w:p>
          <w:p w:rsidR="00C12373" w:rsidRPr="00D27272" w:rsidRDefault="00C12373" w:rsidP="001B2C19">
            <w:r w:rsidRPr="00D27272">
              <w:t>Fisica</w:t>
            </w:r>
          </w:p>
          <w:p w:rsidR="00C12373" w:rsidRPr="00D27272" w:rsidRDefault="00C12373" w:rsidP="001B2C19">
            <w:r w:rsidRPr="00D27272">
              <w:t>Scienze</w:t>
            </w:r>
          </w:p>
          <w:p w:rsidR="00C12373" w:rsidRPr="00D27272" w:rsidRDefault="00C12373" w:rsidP="001B2C19">
            <w:r w:rsidRPr="00D27272">
              <w:t>Matematica</w:t>
            </w:r>
          </w:p>
          <w:p w:rsidR="00C12373" w:rsidRPr="00D27272" w:rsidRDefault="00C12373" w:rsidP="001B2C19">
            <w:r w:rsidRPr="00D27272">
              <w:t>Lo scopo prioritario è quello di</w:t>
            </w:r>
          </w:p>
          <w:p w:rsidR="00C12373" w:rsidRPr="00D27272" w:rsidRDefault="00C12373" w:rsidP="001B2C19">
            <w:r w:rsidRPr="00D27272">
              <w:tab/>
              <w:t>Fornire agli allievi opportunità di successo nell’accesso alle diverse facoltà universitarie</w:t>
            </w:r>
            <w:r w:rsidRPr="00D27272">
              <w:tab/>
            </w:r>
          </w:p>
        </w:tc>
      </w:tr>
      <w:tr w:rsidR="00C12373" w:rsidRPr="00D27272" w:rsidTr="001B2C19">
        <w:tc>
          <w:tcPr>
            <w:tcW w:w="4889" w:type="dxa"/>
            <w:shd w:val="clear" w:color="auto" w:fill="auto"/>
          </w:tcPr>
          <w:p w:rsidR="00C12373" w:rsidRPr="00D27272" w:rsidRDefault="00C12373" w:rsidP="001B2C19">
            <w:pPr>
              <w:rPr>
                <w:b/>
                <w:color w:val="000000" w:themeColor="text1"/>
              </w:rPr>
            </w:pPr>
            <w:r w:rsidRPr="00D27272">
              <w:rPr>
                <w:b/>
                <w:color w:val="000000" w:themeColor="text1"/>
              </w:rPr>
              <w:t>PROGETTI SPECIFICI AREA TECNICO-SCIENTIFICA</w:t>
            </w:r>
          </w:p>
        </w:tc>
        <w:tc>
          <w:tcPr>
            <w:tcW w:w="4889" w:type="dxa"/>
            <w:shd w:val="clear" w:color="auto" w:fill="auto"/>
          </w:tcPr>
          <w:p w:rsidR="00C12373" w:rsidRPr="007812A6" w:rsidRDefault="00C12373" w:rsidP="007812A6">
            <w:pPr>
              <w:jc w:val="both"/>
              <w:rPr>
                <w:color w:val="000000" w:themeColor="text1"/>
              </w:rPr>
            </w:pPr>
            <w:r w:rsidRPr="007812A6">
              <w:rPr>
                <w:color w:val="000000" w:themeColor="text1"/>
              </w:rPr>
              <w:t>Implementare la preparazione globale con competenze specifiche delle diverse aree di indirizzo</w:t>
            </w:r>
          </w:p>
          <w:p w:rsidR="00C12373" w:rsidRPr="007812A6" w:rsidRDefault="00C12373" w:rsidP="007812A6">
            <w:pPr>
              <w:jc w:val="both"/>
              <w:rPr>
                <w:b/>
                <w:color w:val="000000" w:themeColor="text1"/>
              </w:rPr>
            </w:pPr>
            <w:r w:rsidRPr="007812A6">
              <w:rPr>
                <w:b/>
                <w:color w:val="000000" w:themeColor="text1"/>
              </w:rPr>
              <w:t>Autocad</w:t>
            </w:r>
          </w:p>
          <w:p w:rsidR="00C12373" w:rsidRPr="007812A6" w:rsidRDefault="00C12373" w:rsidP="007812A6">
            <w:pPr>
              <w:jc w:val="both"/>
              <w:rPr>
                <w:b/>
                <w:color w:val="000000" w:themeColor="text1"/>
              </w:rPr>
            </w:pPr>
            <w:r w:rsidRPr="007812A6">
              <w:rPr>
                <w:b/>
                <w:color w:val="000000" w:themeColor="text1"/>
              </w:rPr>
              <w:t>Photoshop</w:t>
            </w:r>
          </w:p>
          <w:p w:rsidR="00C12373" w:rsidRPr="007812A6" w:rsidRDefault="00C12373" w:rsidP="007812A6">
            <w:pPr>
              <w:jc w:val="both"/>
              <w:rPr>
                <w:b/>
                <w:color w:val="000000" w:themeColor="text1"/>
              </w:rPr>
            </w:pPr>
            <w:r w:rsidRPr="007812A6">
              <w:rPr>
                <w:b/>
                <w:color w:val="000000" w:themeColor="text1"/>
              </w:rPr>
              <w:t>Grafica 3D</w:t>
            </w:r>
          </w:p>
          <w:p w:rsidR="00C12373" w:rsidRPr="007812A6" w:rsidRDefault="00C12373" w:rsidP="007812A6">
            <w:pPr>
              <w:jc w:val="both"/>
              <w:rPr>
                <w:b/>
                <w:color w:val="000000" w:themeColor="text1"/>
              </w:rPr>
            </w:pPr>
            <w:r w:rsidRPr="007812A6">
              <w:rPr>
                <w:b/>
                <w:color w:val="000000" w:themeColor="text1"/>
              </w:rPr>
              <w:t>PLS (progetto lauree scientifiche)</w:t>
            </w:r>
          </w:p>
          <w:p w:rsidR="00594977" w:rsidRPr="007812A6" w:rsidRDefault="007812A6" w:rsidP="007812A6">
            <w:pPr>
              <w:jc w:val="both"/>
              <w:rPr>
                <w:color w:val="000000" w:themeColor="text1"/>
              </w:rPr>
            </w:pPr>
            <w:r w:rsidRPr="007812A6">
              <w:rPr>
                <w:b/>
                <w:color w:val="000000" w:themeColor="text1"/>
              </w:rPr>
              <w:t>T</w:t>
            </w:r>
            <w:r w:rsidR="00C12373" w:rsidRPr="007812A6">
              <w:rPr>
                <w:b/>
                <w:color w:val="000000" w:themeColor="text1"/>
              </w:rPr>
              <w:t>elefonia mobile</w:t>
            </w:r>
          </w:p>
        </w:tc>
      </w:tr>
      <w:tr w:rsidR="00C12373" w:rsidRPr="00D27272" w:rsidTr="001B2C19">
        <w:tc>
          <w:tcPr>
            <w:tcW w:w="9778" w:type="dxa"/>
            <w:gridSpan w:val="2"/>
            <w:shd w:val="clear" w:color="auto" w:fill="auto"/>
          </w:tcPr>
          <w:p w:rsidR="00C12373" w:rsidRPr="00D27272" w:rsidRDefault="00C12373" w:rsidP="001B2C19">
            <w:pPr>
              <w:spacing w:after="200" w:line="276" w:lineRule="auto"/>
              <w:rPr>
                <w:b/>
              </w:rPr>
            </w:pPr>
            <w:r w:rsidRPr="00D27272">
              <w:rPr>
                <w:b/>
              </w:rPr>
              <w:t>PARTECIPAZIONE ALLE INIZIATIVE PON</w:t>
            </w:r>
          </w:p>
          <w:p w:rsidR="00C12373" w:rsidRPr="00D27272" w:rsidRDefault="00C12373" w:rsidP="001B2C19">
            <w:pPr>
              <w:spacing w:after="200" w:line="276" w:lineRule="auto"/>
            </w:pPr>
            <w:r w:rsidRPr="00D27272">
              <w:t xml:space="preserve">Il piano dell’offerta formativa è integrato dal PDM (Piano di Miglioramento) definito collegialmente e fondato su un’autodiagnosi dei fattori di maggiore criticità (contesto scolastico, </w:t>
            </w:r>
            <w:r w:rsidRPr="00D27272">
              <w:lastRenderedPageBreak/>
              <w:t xml:space="preserve">familiare e culturale). Il piano racchiude l’insieme delle proposte di azioni (sia FSE che FESR) con cui la scuola intenderà affrontare le proprie esigenze e quelle della comunità di riferimento. Per implementare l’offerta Formativa dell’ITI “E. MEDI” si prevede la partecipazione ad iniziative PON secondo gli Assi di intervento della Programmazione 2014-2020 dei Fondi Strutturali Europei: </w:t>
            </w:r>
          </w:p>
          <w:p w:rsidR="00C12373" w:rsidRPr="00D27272" w:rsidRDefault="00C12373" w:rsidP="001B2C19">
            <w:pPr>
              <w:numPr>
                <w:ilvl w:val="0"/>
                <w:numId w:val="1"/>
              </w:numPr>
              <w:spacing w:after="200" w:line="276" w:lineRule="auto"/>
            </w:pPr>
            <w:r w:rsidRPr="00D27272">
              <w:t xml:space="preserve">ASSE I- ISTRUZIONE: volto a migliorare la qualità del sistema di istruzione e a favorire l’innalzamento e l’adeguamento delle competenze, promuovendo una maggiore partecipazione ai percorsi formativi e ai processi di apprendimento permanente. </w:t>
            </w:r>
          </w:p>
          <w:p w:rsidR="00C12373" w:rsidRPr="00D27272" w:rsidRDefault="00C12373" w:rsidP="001B2C19">
            <w:pPr>
              <w:numPr>
                <w:ilvl w:val="0"/>
                <w:numId w:val="1"/>
              </w:numPr>
              <w:spacing w:after="200" w:line="276" w:lineRule="auto"/>
            </w:pPr>
            <w:r w:rsidRPr="00D27272">
              <w:t xml:space="preserve">ASSE II – INFRASTRUTTURE PER L’ISTRUZIONE: finalizzato a promuovere e sostenere l’istruzione, la qualificazione professionale e la formazione permanente con azioni finalizzate ad aumentare l’attrattività della scuola attraverso la riqualificazione delle infrastrutture e il potenziamento delle dotazioni tecnologiche e degli ambienti di apprendimento, garantendo spazi architettonici adeguati agli approcci innovativi della didattica. </w:t>
            </w:r>
          </w:p>
          <w:p w:rsidR="00C12373" w:rsidRPr="00D27272" w:rsidRDefault="00C12373" w:rsidP="001B2C19">
            <w:r w:rsidRPr="00D27272">
              <w:t>ASSE III – CAPACITÀ ISTITUZIONALE E AMMINISTRATIVA: volto a incrementare la capacità istituzionale e l’efficienza della pubblica amministrazione in una prospettiva di miglioramento della “</w:t>
            </w:r>
            <w:proofErr w:type="spellStart"/>
            <w:r w:rsidRPr="00D27272">
              <w:t>governance</w:t>
            </w:r>
            <w:proofErr w:type="spellEnd"/>
            <w:r w:rsidRPr="00D27272">
              <w:t xml:space="preserve">” complessiva nel settore dell’istruzione </w:t>
            </w:r>
          </w:p>
          <w:p w:rsidR="00B54AA3" w:rsidRPr="00D27272" w:rsidRDefault="00B54AA3" w:rsidP="001B2C19"/>
          <w:p w:rsidR="00B54AA3" w:rsidRDefault="00F86FDE" w:rsidP="001B2C19">
            <w:r>
              <w:t xml:space="preserve">Pe r </w:t>
            </w:r>
            <w:proofErr w:type="spellStart"/>
            <w:r>
              <w:t>l’a.s.</w:t>
            </w:r>
            <w:proofErr w:type="spellEnd"/>
            <w:r>
              <w:t xml:space="preserve"> in corso la scuola è stata autorizzata all’espletamento dei seguenti Progetti PON che implementano l’OF:</w:t>
            </w:r>
          </w:p>
          <w:p w:rsidR="00A13E88" w:rsidRDefault="00A13E88" w:rsidP="001B2C19">
            <w:pPr>
              <w:rPr>
                <w:b/>
              </w:rPr>
            </w:pPr>
            <w:bookmarkStart w:id="0" w:name="_GoBack"/>
            <w:bookmarkEnd w:id="0"/>
          </w:p>
          <w:p w:rsidR="00A13E88" w:rsidRDefault="00A13E88" w:rsidP="00A13E88">
            <w:pPr>
              <w:rPr>
                <w:b/>
              </w:rPr>
            </w:pPr>
            <w:r w:rsidRPr="00A13E88">
              <w:rPr>
                <w:b/>
              </w:rPr>
              <w:t>RICOMINCIAMO</w:t>
            </w:r>
            <w:r w:rsidR="002C0459">
              <w:rPr>
                <w:b/>
              </w:rPr>
              <w:t xml:space="preserve">  -  </w:t>
            </w:r>
            <w:r w:rsidR="002C0459" w:rsidRPr="002C0459">
              <w:rPr>
                <w:b/>
              </w:rPr>
              <w:t>10.2.2A-FSEPON-CA-2021-271</w:t>
            </w:r>
          </w:p>
          <w:p w:rsidR="00A13E88" w:rsidRDefault="00A13E88" w:rsidP="00A13E88">
            <w:r>
              <w:t>Robotica1</w:t>
            </w:r>
          </w:p>
          <w:p w:rsidR="00A13E88" w:rsidRDefault="00A13E88" w:rsidP="00A13E88">
            <w:proofErr w:type="spellStart"/>
            <w:r>
              <w:t>Tinkering</w:t>
            </w:r>
            <w:proofErr w:type="spellEnd"/>
          </w:p>
          <w:p w:rsidR="00A13E88" w:rsidRDefault="00A13E88" w:rsidP="00A13E88">
            <w:r>
              <w:t>Robotica 3</w:t>
            </w:r>
          </w:p>
          <w:p w:rsidR="00A13E88" w:rsidRDefault="00A13E88" w:rsidP="00A13E88">
            <w:r>
              <w:t xml:space="preserve">Analizza¿ </w:t>
            </w:r>
            <w:proofErr w:type="spellStart"/>
            <w:r>
              <w:t>l¿Ambiente</w:t>
            </w:r>
            <w:proofErr w:type="spellEnd"/>
          </w:p>
          <w:p w:rsidR="00A13E88" w:rsidRDefault="00A13E88" w:rsidP="00A13E88">
            <w:r>
              <w:t>Futuro sostenibile</w:t>
            </w:r>
          </w:p>
          <w:p w:rsidR="00A13E88" w:rsidRDefault="00A13E88" w:rsidP="00A13E88">
            <w:r>
              <w:t>Patrimonio artistico e culturale</w:t>
            </w:r>
          </w:p>
          <w:p w:rsidR="00A13E88" w:rsidRDefault="00A13E88" w:rsidP="00A13E88">
            <w:r>
              <w:t>I miei monumenti</w:t>
            </w:r>
          </w:p>
          <w:p w:rsidR="00A13E88" w:rsidRDefault="00A13E88" w:rsidP="00A13E88">
            <w:r>
              <w:t>Digitalizzarsi, valorizzarsi, godersi il territorio</w:t>
            </w:r>
          </w:p>
          <w:p w:rsidR="00A13E88" w:rsidRDefault="00A13E88" w:rsidP="00A13E88">
            <w:proofErr w:type="spellStart"/>
            <w:r>
              <w:t>AppMedi</w:t>
            </w:r>
            <w:proofErr w:type="spellEnd"/>
          </w:p>
          <w:p w:rsidR="00A13E88" w:rsidRDefault="00A13E88" w:rsidP="00A13E88">
            <w:r>
              <w:t>INTERNET</w:t>
            </w:r>
          </w:p>
          <w:p w:rsidR="00A13E88" w:rsidRDefault="00A13E88" w:rsidP="00A13E88">
            <w:r>
              <w:t>Magie ...informatiche</w:t>
            </w:r>
          </w:p>
          <w:p w:rsidR="00A13E88" w:rsidRDefault="00A13E88" w:rsidP="00A13E88">
            <w:r>
              <w:t>Progetta il futuro</w:t>
            </w:r>
          </w:p>
          <w:p w:rsidR="00A13E88" w:rsidRDefault="00A13E88" w:rsidP="00A13E88">
            <w:r>
              <w:t>La Chimica degli Alimenti</w:t>
            </w:r>
          </w:p>
          <w:p w:rsidR="00A13E88" w:rsidRDefault="00A13E88" w:rsidP="00A13E88">
            <w:r>
              <w:t>Esplorazione</w:t>
            </w:r>
          </w:p>
          <w:p w:rsidR="00A13E88" w:rsidRDefault="00A13E88" w:rsidP="00A13E88">
            <w:r>
              <w:t>Inglese 2.0</w:t>
            </w:r>
          </w:p>
          <w:p w:rsidR="00A13E88" w:rsidRPr="00D27272" w:rsidRDefault="00A13E88" w:rsidP="00A13E88">
            <w:r>
              <w:t>HAPPY ENGLISH</w:t>
            </w:r>
          </w:p>
          <w:p w:rsidR="00B54AA3" w:rsidRPr="00D27272" w:rsidRDefault="00B54AA3" w:rsidP="001B2C19"/>
          <w:p w:rsidR="00B54AA3" w:rsidRPr="002C0459" w:rsidRDefault="00A13E88" w:rsidP="001B2C19">
            <w:pPr>
              <w:rPr>
                <w:b/>
              </w:rPr>
            </w:pPr>
            <w:r w:rsidRPr="002C0459">
              <w:rPr>
                <w:b/>
              </w:rPr>
              <w:t>TUTTI A SCUOLA</w:t>
            </w:r>
            <w:r w:rsidR="002C0459">
              <w:rPr>
                <w:b/>
              </w:rPr>
              <w:t xml:space="preserve">  -  </w:t>
            </w:r>
            <w:r w:rsidR="002C0459" w:rsidRPr="002C0459">
              <w:rPr>
                <w:b/>
              </w:rPr>
              <w:t xml:space="preserve">10.1.1A-FSEPON-CA-2021-254 </w:t>
            </w:r>
          </w:p>
          <w:p w:rsidR="00A13E88" w:rsidRDefault="00A13E88" w:rsidP="00A13E88">
            <w:proofErr w:type="spellStart"/>
            <w:r>
              <w:t>Teatrando</w:t>
            </w:r>
            <w:proofErr w:type="spellEnd"/>
          </w:p>
          <w:p w:rsidR="00A13E88" w:rsidRDefault="00A13E88" w:rsidP="00A13E88">
            <w:r>
              <w:t>Explorer</w:t>
            </w:r>
          </w:p>
          <w:p w:rsidR="00A13E88" w:rsidRDefault="00A13E88" w:rsidP="00A13E88">
            <w:r>
              <w:t>Il Mio Territorio</w:t>
            </w:r>
          </w:p>
          <w:p w:rsidR="00A13E88" w:rsidRDefault="00A13E88" w:rsidP="00A13E88"/>
          <w:p w:rsidR="00A13E88" w:rsidRDefault="00A13E88" w:rsidP="00A13E88"/>
          <w:p w:rsidR="00A13E88" w:rsidRPr="002C0459" w:rsidRDefault="00A13E88" w:rsidP="001B2C19">
            <w:pPr>
              <w:rPr>
                <w:b/>
              </w:rPr>
            </w:pPr>
            <w:r w:rsidRPr="002C0459">
              <w:rPr>
                <w:b/>
              </w:rPr>
              <w:lastRenderedPageBreak/>
              <w:t>WELCOME</w:t>
            </w:r>
            <w:r w:rsidR="002C0459">
              <w:rPr>
                <w:b/>
              </w:rPr>
              <w:t xml:space="preserve"> -  </w:t>
            </w:r>
            <w:r w:rsidR="002C0459" w:rsidRPr="002C0459">
              <w:rPr>
                <w:b/>
              </w:rPr>
              <w:t xml:space="preserve">10.1.1A-FSEPON-CA-2019-500  </w:t>
            </w:r>
          </w:p>
          <w:p w:rsidR="00A13E88" w:rsidRDefault="00A13E88" w:rsidP="001B2C19"/>
          <w:p w:rsidR="00A13E88" w:rsidRDefault="00A13E88" w:rsidP="00A13E88">
            <w:r>
              <w:t>Il Gioco Creativo</w:t>
            </w:r>
          </w:p>
          <w:p w:rsidR="00A13E88" w:rsidRDefault="00A13E88" w:rsidP="00A13E88">
            <w:r>
              <w:t>Filmiamo</w:t>
            </w:r>
          </w:p>
          <w:p w:rsidR="00A13E88" w:rsidRDefault="00A13E88" w:rsidP="00A13E88">
            <w:proofErr w:type="spellStart"/>
            <w:r>
              <w:t>Teatrando</w:t>
            </w:r>
            <w:proofErr w:type="spellEnd"/>
          </w:p>
          <w:p w:rsidR="00A13E88" w:rsidRDefault="00A13E88" w:rsidP="00A13E88">
            <w:r>
              <w:t>Genitori Efficaci</w:t>
            </w:r>
          </w:p>
          <w:p w:rsidR="00A13E88" w:rsidRDefault="00A13E88" w:rsidP="00A13E88"/>
          <w:p w:rsidR="00A13E88" w:rsidRDefault="00A13E88" w:rsidP="00A13E88">
            <w:pPr>
              <w:rPr>
                <w:b/>
              </w:rPr>
            </w:pPr>
            <w:r w:rsidRPr="002C0459">
              <w:rPr>
                <w:b/>
              </w:rPr>
              <w:t>RIFORMIAMOCI</w:t>
            </w:r>
            <w:r w:rsidR="002C0459" w:rsidRPr="002C0459">
              <w:rPr>
                <w:b/>
              </w:rPr>
              <w:t xml:space="preserve">  -  10.3.1A-FSEPON-CA-2019-17</w:t>
            </w:r>
          </w:p>
          <w:p w:rsidR="002C0459" w:rsidRPr="002C0459" w:rsidRDefault="002C0459" w:rsidP="00A13E88">
            <w:pPr>
              <w:rPr>
                <w:b/>
              </w:rPr>
            </w:pPr>
            <w:r>
              <w:rPr>
                <w:b/>
              </w:rPr>
              <w:t>PER GLI ALUNNI DEL SERALE</w:t>
            </w:r>
          </w:p>
          <w:p w:rsidR="00A13E88" w:rsidRDefault="00A13E88" w:rsidP="00A13E88">
            <w:r>
              <w:t>La Patente Europea</w:t>
            </w:r>
          </w:p>
          <w:p w:rsidR="00A13E88" w:rsidRDefault="00A13E88" w:rsidP="00A13E88">
            <w:r>
              <w:t>Grafici</w:t>
            </w:r>
          </w:p>
          <w:p w:rsidR="00A13E88" w:rsidRDefault="00A13E88" w:rsidP="00A13E88">
            <w:r>
              <w:t>E-Government1</w:t>
            </w:r>
          </w:p>
          <w:p w:rsidR="00A13E88" w:rsidRDefault="00A13E88" w:rsidP="00A13E88">
            <w:r>
              <w:t>Educazione Finanziaria</w:t>
            </w:r>
          </w:p>
          <w:p w:rsidR="00A13E88" w:rsidRDefault="00A13E88" w:rsidP="00A13E88">
            <w:r>
              <w:t xml:space="preserve">English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  <w:p w:rsidR="00A13E88" w:rsidRPr="00D27272" w:rsidRDefault="00A13E88" w:rsidP="001B2C19"/>
          <w:p w:rsidR="00B54AA3" w:rsidRPr="00D27272" w:rsidRDefault="00B54AA3" w:rsidP="001B2C19"/>
        </w:tc>
      </w:tr>
    </w:tbl>
    <w:p w:rsidR="001D2BBA" w:rsidRPr="00D27272" w:rsidRDefault="001D2BBA"/>
    <w:p w:rsidR="003121C7" w:rsidRPr="00D27272" w:rsidRDefault="003121C7"/>
    <w:p w:rsidR="003121C7" w:rsidRPr="00D27272" w:rsidRDefault="003121C7" w:rsidP="003121C7"/>
    <w:p w:rsidR="003121C7" w:rsidRPr="00D27272" w:rsidRDefault="003121C7" w:rsidP="003121C7"/>
    <w:p w:rsidR="003121C7" w:rsidRPr="00D27272" w:rsidRDefault="003121C7" w:rsidP="003121C7"/>
    <w:p w:rsidR="003121C7" w:rsidRPr="00D27272" w:rsidRDefault="003121C7" w:rsidP="003121C7"/>
    <w:p w:rsidR="003121C7" w:rsidRPr="00D27272" w:rsidRDefault="003121C7" w:rsidP="003121C7">
      <w:pPr>
        <w:rPr>
          <w:color w:val="FF0000"/>
        </w:rPr>
      </w:pPr>
    </w:p>
    <w:sectPr w:rsidR="003121C7" w:rsidRPr="00D272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19" w:rsidRDefault="00307419" w:rsidP="00C12373">
      <w:r>
        <w:separator/>
      </w:r>
    </w:p>
  </w:endnote>
  <w:endnote w:type="continuationSeparator" w:id="0">
    <w:p w:rsidR="00307419" w:rsidRDefault="00307419" w:rsidP="00C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19" w:rsidRDefault="00307419" w:rsidP="00C12373">
      <w:r>
        <w:separator/>
      </w:r>
    </w:p>
  </w:footnote>
  <w:footnote w:type="continuationSeparator" w:id="0">
    <w:p w:rsidR="00307419" w:rsidRDefault="00307419" w:rsidP="00C1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73" w:rsidRDefault="00C12373">
    <w:pPr>
      <w:pStyle w:val="Intestazione"/>
    </w:pPr>
    <w:r>
      <w:rPr>
        <w:rFonts w:asciiTheme="minorHAnsi" w:hAnsiTheme="minorHAnsi" w:cs="Arial"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22AA195" wp14:editId="38858F78">
          <wp:simplePos x="0" y="0"/>
          <wp:positionH relativeFrom="column">
            <wp:posOffset>32385</wp:posOffset>
          </wp:positionH>
          <wp:positionV relativeFrom="paragraph">
            <wp:posOffset>-344805</wp:posOffset>
          </wp:positionV>
          <wp:extent cx="6120130" cy="1179195"/>
          <wp:effectExtent l="0" t="0" r="0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sata AGGIORNATA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C8"/>
    <w:multiLevelType w:val="hybridMultilevel"/>
    <w:tmpl w:val="053A05A6"/>
    <w:lvl w:ilvl="0" w:tplc="22D21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495D5B"/>
    <w:multiLevelType w:val="hybridMultilevel"/>
    <w:tmpl w:val="73BC8838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3272E"/>
    <w:multiLevelType w:val="hybridMultilevel"/>
    <w:tmpl w:val="815C43F0"/>
    <w:lvl w:ilvl="0" w:tplc="22D21DE6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7B14300"/>
    <w:multiLevelType w:val="hybridMultilevel"/>
    <w:tmpl w:val="11983EE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B322419"/>
    <w:multiLevelType w:val="hybridMultilevel"/>
    <w:tmpl w:val="DE3E8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C2633"/>
    <w:multiLevelType w:val="hybridMultilevel"/>
    <w:tmpl w:val="709C8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60439"/>
    <w:multiLevelType w:val="hybridMultilevel"/>
    <w:tmpl w:val="486485CC"/>
    <w:lvl w:ilvl="0" w:tplc="22D21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1728AC"/>
    <w:multiLevelType w:val="hybridMultilevel"/>
    <w:tmpl w:val="082E4E40"/>
    <w:lvl w:ilvl="0" w:tplc="22D21DE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085AF7"/>
    <w:multiLevelType w:val="hybridMultilevel"/>
    <w:tmpl w:val="186E9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91AFF"/>
    <w:multiLevelType w:val="hybridMultilevel"/>
    <w:tmpl w:val="985C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1255"/>
    <w:multiLevelType w:val="hybridMultilevel"/>
    <w:tmpl w:val="E7100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59EE"/>
    <w:multiLevelType w:val="hybridMultilevel"/>
    <w:tmpl w:val="B204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02339"/>
    <w:multiLevelType w:val="hybridMultilevel"/>
    <w:tmpl w:val="8384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45C77"/>
    <w:multiLevelType w:val="hybridMultilevel"/>
    <w:tmpl w:val="0462A210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C67AA3"/>
    <w:multiLevelType w:val="hybridMultilevel"/>
    <w:tmpl w:val="180A8C78"/>
    <w:lvl w:ilvl="0" w:tplc="22D21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A1570"/>
    <w:multiLevelType w:val="hybridMultilevel"/>
    <w:tmpl w:val="24C64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45229"/>
    <w:multiLevelType w:val="hybridMultilevel"/>
    <w:tmpl w:val="4678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07794"/>
    <w:multiLevelType w:val="hybridMultilevel"/>
    <w:tmpl w:val="853E1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41965"/>
    <w:multiLevelType w:val="hybridMultilevel"/>
    <w:tmpl w:val="CC66E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319B4"/>
    <w:multiLevelType w:val="hybridMultilevel"/>
    <w:tmpl w:val="85FC8EFE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36355B7B"/>
    <w:multiLevelType w:val="hybridMultilevel"/>
    <w:tmpl w:val="D9427B24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4D6324"/>
    <w:multiLevelType w:val="hybridMultilevel"/>
    <w:tmpl w:val="784EB32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6FE63E5"/>
    <w:multiLevelType w:val="hybridMultilevel"/>
    <w:tmpl w:val="98603FB2"/>
    <w:lvl w:ilvl="0" w:tplc="8054AC46">
      <w:numFmt w:val="bullet"/>
      <w:lvlText w:val="-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759AD"/>
    <w:multiLevelType w:val="hybridMultilevel"/>
    <w:tmpl w:val="86D89DC8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CF2C52"/>
    <w:multiLevelType w:val="hybridMultilevel"/>
    <w:tmpl w:val="1B0E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E4F1A"/>
    <w:multiLevelType w:val="hybridMultilevel"/>
    <w:tmpl w:val="AE2EA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C3546"/>
    <w:multiLevelType w:val="hybridMultilevel"/>
    <w:tmpl w:val="6FE07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51EE1"/>
    <w:multiLevelType w:val="hybridMultilevel"/>
    <w:tmpl w:val="BFD02F2A"/>
    <w:lvl w:ilvl="0" w:tplc="22D21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D1919"/>
    <w:multiLevelType w:val="hybridMultilevel"/>
    <w:tmpl w:val="FC02A4E2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F54309"/>
    <w:multiLevelType w:val="hybridMultilevel"/>
    <w:tmpl w:val="D68E978E"/>
    <w:lvl w:ilvl="0" w:tplc="22D21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258E6"/>
    <w:multiLevelType w:val="hybridMultilevel"/>
    <w:tmpl w:val="70E6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431017"/>
    <w:multiLevelType w:val="hybridMultilevel"/>
    <w:tmpl w:val="0EC4D2C8"/>
    <w:lvl w:ilvl="0" w:tplc="22D21DE6">
      <w:start w:val="1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4C870BF3"/>
    <w:multiLevelType w:val="hybridMultilevel"/>
    <w:tmpl w:val="1256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5469FA"/>
    <w:multiLevelType w:val="hybridMultilevel"/>
    <w:tmpl w:val="E068A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035195"/>
    <w:multiLevelType w:val="hybridMultilevel"/>
    <w:tmpl w:val="0E02B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431EF"/>
    <w:multiLevelType w:val="hybridMultilevel"/>
    <w:tmpl w:val="A2B6A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77446"/>
    <w:multiLevelType w:val="hybridMultilevel"/>
    <w:tmpl w:val="E3D0484A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881E00"/>
    <w:multiLevelType w:val="hybridMultilevel"/>
    <w:tmpl w:val="2752C1EA"/>
    <w:lvl w:ilvl="0" w:tplc="22D21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9F0623"/>
    <w:multiLevelType w:val="hybridMultilevel"/>
    <w:tmpl w:val="1390E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044BAE"/>
    <w:multiLevelType w:val="hybridMultilevel"/>
    <w:tmpl w:val="26A87A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2C2628"/>
    <w:multiLevelType w:val="hybridMultilevel"/>
    <w:tmpl w:val="2078E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82B4B"/>
    <w:multiLevelType w:val="hybridMultilevel"/>
    <w:tmpl w:val="3E349DC8"/>
    <w:lvl w:ilvl="0" w:tplc="22D21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9642A"/>
    <w:multiLevelType w:val="hybridMultilevel"/>
    <w:tmpl w:val="D56046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11D2DB3"/>
    <w:multiLevelType w:val="hybridMultilevel"/>
    <w:tmpl w:val="F466865C"/>
    <w:lvl w:ilvl="0" w:tplc="8054AC46">
      <w:numFmt w:val="bullet"/>
      <w:lvlText w:val="-"/>
      <w:lvlJc w:val="left"/>
      <w:pPr>
        <w:ind w:left="1425" w:hanging="705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D1583D"/>
    <w:multiLevelType w:val="hybridMultilevel"/>
    <w:tmpl w:val="CCDC9C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845381F"/>
    <w:multiLevelType w:val="hybridMultilevel"/>
    <w:tmpl w:val="7BF85B9C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4C458C"/>
    <w:multiLevelType w:val="hybridMultilevel"/>
    <w:tmpl w:val="9B044ED8"/>
    <w:lvl w:ilvl="0" w:tplc="22D21DE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2D18B9"/>
    <w:multiLevelType w:val="hybridMultilevel"/>
    <w:tmpl w:val="61FED0C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9975842"/>
    <w:multiLevelType w:val="hybridMultilevel"/>
    <w:tmpl w:val="325C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20"/>
  </w:num>
  <w:num w:numId="4">
    <w:abstractNumId w:val="23"/>
  </w:num>
  <w:num w:numId="5">
    <w:abstractNumId w:val="13"/>
  </w:num>
  <w:num w:numId="6">
    <w:abstractNumId w:val="46"/>
  </w:num>
  <w:num w:numId="7">
    <w:abstractNumId w:val="1"/>
  </w:num>
  <w:num w:numId="8">
    <w:abstractNumId w:val="45"/>
  </w:num>
  <w:num w:numId="9">
    <w:abstractNumId w:val="6"/>
  </w:num>
  <w:num w:numId="10">
    <w:abstractNumId w:val="29"/>
  </w:num>
  <w:num w:numId="11">
    <w:abstractNumId w:val="37"/>
  </w:num>
  <w:num w:numId="12">
    <w:abstractNumId w:val="41"/>
  </w:num>
  <w:num w:numId="13">
    <w:abstractNumId w:val="14"/>
  </w:num>
  <w:num w:numId="14">
    <w:abstractNumId w:val="7"/>
  </w:num>
  <w:num w:numId="15">
    <w:abstractNumId w:val="27"/>
  </w:num>
  <w:num w:numId="16">
    <w:abstractNumId w:val="0"/>
  </w:num>
  <w:num w:numId="17">
    <w:abstractNumId w:val="28"/>
  </w:num>
  <w:num w:numId="18">
    <w:abstractNumId w:val="16"/>
  </w:num>
  <w:num w:numId="19">
    <w:abstractNumId w:val="17"/>
  </w:num>
  <w:num w:numId="20">
    <w:abstractNumId w:val="32"/>
  </w:num>
  <w:num w:numId="21">
    <w:abstractNumId w:val="3"/>
  </w:num>
  <w:num w:numId="22">
    <w:abstractNumId w:val="12"/>
  </w:num>
  <w:num w:numId="23">
    <w:abstractNumId w:val="39"/>
  </w:num>
  <w:num w:numId="24">
    <w:abstractNumId w:val="26"/>
  </w:num>
  <w:num w:numId="25">
    <w:abstractNumId w:val="38"/>
  </w:num>
  <w:num w:numId="26">
    <w:abstractNumId w:val="5"/>
  </w:num>
  <w:num w:numId="27">
    <w:abstractNumId w:val="4"/>
  </w:num>
  <w:num w:numId="28">
    <w:abstractNumId w:val="35"/>
  </w:num>
  <w:num w:numId="29">
    <w:abstractNumId w:val="21"/>
  </w:num>
  <w:num w:numId="30">
    <w:abstractNumId w:val="8"/>
  </w:num>
  <w:num w:numId="31">
    <w:abstractNumId w:val="9"/>
  </w:num>
  <w:num w:numId="32">
    <w:abstractNumId w:val="11"/>
  </w:num>
  <w:num w:numId="33">
    <w:abstractNumId w:val="24"/>
  </w:num>
  <w:num w:numId="34">
    <w:abstractNumId w:val="18"/>
  </w:num>
  <w:num w:numId="35">
    <w:abstractNumId w:val="15"/>
  </w:num>
  <w:num w:numId="36">
    <w:abstractNumId w:val="22"/>
  </w:num>
  <w:num w:numId="37">
    <w:abstractNumId w:val="43"/>
  </w:num>
  <w:num w:numId="38">
    <w:abstractNumId w:val="42"/>
  </w:num>
  <w:num w:numId="39">
    <w:abstractNumId w:val="40"/>
  </w:num>
  <w:num w:numId="40">
    <w:abstractNumId w:val="44"/>
  </w:num>
  <w:num w:numId="41">
    <w:abstractNumId w:val="2"/>
  </w:num>
  <w:num w:numId="42">
    <w:abstractNumId w:val="31"/>
  </w:num>
  <w:num w:numId="43">
    <w:abstractNumId w:val="19"/>
  </w:num>
  <w:num w:numId="44">
    <w:abstractNumId w:val="34"/>
  </w:num>
  <w:num w:numId="45">
    <w:abstractNumId w:val="25"/>
  </w:num>
  <w:num w:numId="46">
    <w:abstractNumId w:val="30"/>
  </w:num>
  <w:num w:numId="47">
    <w:abstractNumId w:val="48"/>
  </w:num>
  <w:num w:numId="48">
    <w:abstractNumId w:val="33"/>
  </w:num>
  <w:num w:numId="49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09"/>
    <w:rsid w:val="000052F4"/>
    <w:rsid w:val="000216D7"/>
    <w:rsid w:val="00065814"/>
    <w:rsid w:val="0009093F"/>
    <w:rsid w:val="00096443"/>
    <w:rsid w:val="001058FA"/>
    <w:rsid w:val="0011012E"/>
    <w:rsid w:val="00111478"/>
    <w:rsid w:val="001456F0"/>
    <w:rsid w:val="0015278B"/>
    <w:rsid w:val="001567BA"/>
    <w:rsid w:val="00164604"/>
    <w:rsid w:val="00192E4C"/>
    <w:rsid w:val="001B2C19"/>
    <w:rsid w:val="001C55DB"/>
    <w:rsid w:val="001D2BBA"/>
    <w:rsid w:val="00221994"/>
    <w:rsid w:val="00224A8A"/>
    <w:rsid w:val="0028045D"/>
    <w:rsid w:val="002C0459"/>
    <w:rsid w:val="002F176E"/>
    <w:rsid w:val="00307419"/>
    <w:rsid w:val="003121C7"/>
    <w:rsid w:val="0033231D"/>
    <w:rsid w:val="003B23CB"/>
    <w:rsid w:val="003C2836"/>
    <w:rsid w:val="003D714E"/>
    <w:rsid w:val="003E2A03"/>
    <w:rsid w:val="003E698A"/>
    <w:rsid w:val="004043F0"/>
    <w:rsid w:val="00433EE1"/>
    <w:rsid w:val="004464D8"/>
    <w:rsid w:val="00466843"/>
    <w:rsid w:val="00496150"/>
    <w:rsid w:val="004C530F"/>
    <w:rsid w:val="00507255"/>
    <w:rsid w:val="00511C5F"/>
    <w:rsid w:val="00533353"/>
    <w:rsid w:val="00551236"/>
    <w:rsid w:val="00556BCA"/>
    <w:rsid w:val="00594977"/>
    <w:rsid w:val="00596C67"/>
    <w:rsid w:val="005B7A67"/>
    <w:rsid w:val="00604162"/>
    <w:rsid w:val="006277A7"/>
    <w:rsid w:val="006805A7"/>
    <w:rsid w:val="00680B7B"/>
    <w:rsid w:val="00690E61"/>
    <w:rsid w:val="006A2D71"/>
    <w:rsid w:val="006B0112"/>
    <w:rsid w:val="006F4BA4"/>
    <w:rsid w:val="006F5F0A"/>
    <w:rsid w:val="007643B9"/>
    <w:rsid w:val="007812A6"/>
    <w:rsid w:val="00783BE3"/>
    <w:rsid w:val="00833451"/>
    <w:rsid w:val="00855BFA"/>
    <w:rsid w:val="00857F7E"/>
    <w:rsid w:val="00890CD0"/>
    <w:rsid w:val="009209AF"/>
    <w:rsid w:val="00926E67"/>
    <w:rsid w:val="009F042A"/>
    <w:rsid w:val="00A13E88"/>
    <w:rsid w:val="00A3407B"/>
    <w:rsid w:val="00A379D8"/>
    <w:rsid w:val="00A50491"/>
    <w:rsid w:val="00A726DA"/>
    <w:rsid w:val="00A772FE"/>
    <w:rsid w:val="00B54AA3"/>
    <w:rsid w:val="00B6258C"/>
    <w:rsid w:val="00C12373"/>
    <w:rsid w:val="00C16FE3"/>
    <w:rsid w:val="00C37F67"/>
    <w:rsid w:val="00CD3E64"/>
    <w:rsid w:val="00D27272"/>
    <w:rsid w:val="00E00111"/>
    <w:rsid w:val="00E25365"/>
    <w:rsid w:val="00E33363"/>
    <w:rsid w:val="00E56758"/>
    <w:rsid w:val="00E8617B"/>
    <w:rsid w:val="00EB7631"/>
    <w:rsid w:val="00F308FF"/>
    <w:rsid w:val="00F44D24"/>
    <w:rsid w:val="00F616DE"/>
    <w:rsid w:val="00F86FDE"/>
    <w:rsid w:val="00FB640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373"/>
    <w:pPr>
      <w:suppressAutoHyphens/>
      <w:spacing w:after="160" w:line="259" w:lineRule="auto"/>
      <w:ind w:left="720"/>
      <w:contextualSpacing/>
    </w:pPr>
    <w:rPr>
      <w:rFonts w:ascii="Calibri" w:eastAsia="SimSun" w:hAnsi="Calibri" w:cs="font294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37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3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567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5675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56758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0052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3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373"/>
    <w:pPr>
      <w:suppressAutoHyphens/>
      <w:spacing w:after="160" w:line="259" w:lineRule="auto"/>
      <w:ind w:left="720"/>
      <w:contextualSpacing/>
    </w:pPr>
    <w:rPr>
      <w:rFonts w:ascii="Calibri" w:eastAsia="SimSun" w:hAnsi="Calibri" w:cs="font294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37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3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3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567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5675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56758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0052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3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Aprea</dc:creator>
  <cp:lastModifiedBy>user</cp:lastModifiedBy>
  <cp:revision>4</cp:revision>
  <cp:lastPrinted>2020-12-30T09:58:00Z</cp:lastPrinted>
  <dcterms:created xsi:type="dcterms:W3CDTF">2021-11-08T18:39:00Z</dcterms:created>
  <dcterms:modified xsi:type="dcterms:W3CDTF">2021-11-19T08:49:00Z</dcterms:modified>
</cp:coreProperties>
</file>